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BA58C" w14:textId="77777777" w:rsidR="008B06D8" w:rsidRDefault="00DF70F0" w:rsidP="00860E0A">
      <w:pPr>
        <w:jc w:val="center"/>
      </w:pPr>
      <w:r>
        <w:t xml:space="preserve">The Effects of Ocean Acidification on Multiple Life History Stages of the Pacific Oyster, </w:t>
      </w:r>
      <w:r>
        <w:rPr>
          <w:i/>
        </w:rPr>
        <w:t>Crassostrea gigas</w:t>
      </w:r>
      <w:r>
        <w:t>: Implications for Physiological Trade-offs</w:t>
      </w:r>
    </w:p>
    <w:p w14:paraId="32CAC1E1" w14:textId="77777777" w:rsidR="00DF70F0" w:rsidRDefault="00DF70F0" w:rsidP="00860E0A">
      <w:pPr>
        <w:jc w:val="center"/>
      </w:pPr>
    </w:p>
    <w:p w14:paraId="277C9C4C" w14:textId="77777777" w:rsidR="00DF70F0" w:rsidRDefault="00DF70F0" w:rsidP="00860E0A">
      <w:pPr>
        <w:jc w:val="center"/>
      </w:pPr>
      <w:r>
        <w:t>Emma</w:t>
      </w:r>
      <w:r w:rsidR="00860E0A">
        <w:t xml:space="preserve"> B.</w:t>
      </w:r>
      <w:r>
        <w:t xml:space="preserve"> Timmins-Schiffman</w:t>
      </w:r>
    </w:p>
    <w:p w14:paraId="7284D4FD" w14:textId="77777777" w:rsidR="00DF70F0" w:rsidRDefault="00DF70F0" w:rsidP="00860E0A">
      <w:pPr>
        <w:jc w:val="center"/>
      </w:pPr>
    </w:p>
    <w:p w14:paraId="6CEBF5C1" w14:textId="77777777" w:rsidR="00DF70F0" w:rsidRDefault="00DF70F0" w:rsidP="00860E0A">
      <w:pPr>
        <w:jc w:val="center"/>
      </w:pPr>
      <w:r>
        <w:t>A dissertation</w:t>
      </w:r>
    </w:p>
    <w:p w14:paraId="333FD318" w14:textId="77777777" w:rsidR="00DF70F0" w:rsidRDefault="00DF70F0" w:rsidP="00860E0A">
      <w:pPr>
        <w:jc w:val="center"/>
      </w:pPr>
      <w:r>
        <w:t>Submitted in partial fulfillment of the</w:t>
      </w:r>
    </w:p>
    <w:p w14:paraId="3291FB70" w14:textId="77777777" w:rsidR="00DF70F0" w:rsidRDefault="00DF70F0" w:rsidP="00860E0A">
      <w:pPr>
        <w:jc w:val="center"/>
      </w:pPr>
      <w:r>
        <w:t>Requirements for the degree of</w:t>
      </w:r>
    </w:p>
    <w:p w14:paraId="2567C89D" w14:textId="77777777" w:rsidR="00DF70F0" w:rsidRDefault="00DF70F0" w:rsidP="00860E0A">
      <w:pPr>
        <w:jc w:val="center"/>
      </w:pPr>
    </w:p>
    <w:p w14:paraId="1987E91B" w14:textId="77777777" w:rsidR="00DF70F0" w:rsidRDefault="00DF70F0" w:rsidP="00860E0A">
      <w:pPr>
        <w:jc w:val="center"/>
      </w:pPr>
    </w:p>
    <w:p w14:paraId="0E0681E2" w14:textId="77777777" w:rsidR="00DF70F0" w:rsidRDefault="00DF70F0" w:rsidP="00860E0A">
      <w:pPr>
        <w:jc w:val="center"/>
      </w:pPr>
      <w:r>
        <w:t>Doctor of Philosophy</w:t>
      </w:r>
    </w:p>
    <w:p w14:paraId="2AB1831C" w14:textId="77777777" w:rsidR="00DF70F0" w:rsidRDefault="00DF70F0" w:rsidP="00860E0A">
      <w:pPr>
        <w:jc w:val="center"/>
      </w:pPr>
    </w:p>
    <w:p w14:paraId="76FF9200" w14:textId="77777777" w:rsidR="00DF70F0" w:rsidRDefault="00DF70F0" w:rsidP="00860E0A">
      <w:pPr>
        <w:jc w:val="center"/>
      </w:pPr>
    </w:p>
    <w:p w14:paraId="4590F91E" w14:textId="77777777" w:rsidR="00DF70F0" w:rsidRDefault="00DF70F0" w:rsidP="00860E0A">
      <w:pPr>
        <w:jc w:val="center"/>
      </w:pPr>
    </w:p>
    <w:p w14:paraId="65B1DC1F" w14:textId="77777777" w:rsidR="00DF70F0" w:rsidRDefault="00DF70F0" w:rsidP="00860E0A">
      <w:pPr>
        <w:jc w:val="center"/>
      </w:pPr>
      <w:r>
        <w:t>University of Washington</w:t>
      </w:r>
    </w:p>
    <w:p w14:paraId="73568480" w14:textId="77777777" w:rsidR="00DF70F0" w:rsidRDefault="00DF70F0" w:rsidP="00860E0A">
      <w:pPr>
        <w:jc w:val="center"/>
      </w:pPr>
    </w:p>
    <w:p w14:paraId="59260A46" w14:textId="77777777" w:rsidR="00DF70F0" w:rsidRDefault="00DF70F0" w:rsidP="00860E0A">
      <w:pPr>
        <w:jc w:val="center"/>
      </w:pPr>
    </w:p>
    <w:p w14:paraId="23650F4D" w14:textId="77777777" w:rsidR="00DF70F0" w:rsidRDefault="00DF70F0" w:rsidP="00860E0A">
      <w:pPr>
        <w:jc w:val="center"/>
      </w:pPr>
    </w:p>
    <w:p w14:paraId="7708B7B7" w14:textId="77777777" w:rsidR="00DF70F0" w:rsidRDefault="00DF70F0" w:rsidP="00860E0A">
      <w:pPr>
        <w:jc w:val="center"/>
      </w:pPr>
    </w:p>
    <w:p w14:paraId="247CD0E8" w14:textId="77777777" w:rsidR="00DF70F0" w:rsidRDefault="00DF70F0" w:rsidP="00860E0A">
      <w:pPr>
        <w:jc w:val="center"/>
      </w:pPr>
    </w:p>
    <w:p w14:paraId="63671DA2" w14:textId="77777777" w:rsidR="00DF70F0" w:rsidRDefault="00DF70F0" w:rsidP="00860E0A">
      <w:pPr>
        <w:jc w:val="center"/>
      </w:pPr>
    </w:p>
    <w:p w14:paraId="05E8C964" w14:textId="77777777" w:rsidR="00DF70F0" w:rsidRDefault="00DF70F0" w:rsidP="00860E0A">
      <w:pPr>
        <w:jc w:val="center"/>
      </w:pPr>
    </w:p>
    <w:p w14:paraId="4E82A644" w14:textId="77777777" w:rsidR="00DF70F0" w:rsidRDefault="00DF70F0" w:rsidP="00860E0A">
      <w:pPr>
        <w:jc w:val="center"/>
      </w:pPr>
      <w:r>
        <w:t>2014</w:t>
      </w:r>
    </w:p>
    <w:p w14:paraId="05316D9A" w14:textId="77777777" w:rsidR="00DF70F0" w:rsidRDefault="00DF70F0" w:rsidP="00860E0A">
      <w:pPr>
        <w:jc w:val="center"/>
      </w:pPr>
    </w:p>
    <w:p w14:paraId="544659D4" w14:textId="77777777" w:rsidR="00DF70F0" w:rsidRDefault="00DF70F0" w:rsidP="00860E0A">
      <w:pPr>
        <w:jc w:val="center"/>
      </w:pPr>
    </w:p>
    <w:p w14:paraId="29F0EC4A" w14:textId="77777777" w:rsidR="00DF70F0" w:rsidRDefault="00DF70F0" w:rsidP="00860E0A">
      <w:pPr>
        <w:jc w:val="center"/>
      </w:pPr>
    </w:p>
    <w:p w14:paraId="1AA5974C" w14:textId="77777777" w:rsidR="00DF70F0" w:rsidRDefault="00DF70F0" w:rsidP="00860E0A">
      <w:pPr>
        <w:jc w:val="center"/>
      </w:pPr>
    </w:p>
    <w:p w14:paraId="5DA9EBDD" w14:textId="77777777" w:rsidR="00DF70F0" w:rsidRDefault="00DF70F0" w:rsidP="00860E0A">
      <w:pPr>
        <w:jc w:val="center"/>
      </w:pPr>
      <w:r>
        <w:t>Program Authorized to Offer Degree:</w:t>
      </w:r>
    </w:p>
    <w:p w14:paraId="5ACA7266" w14:textId="77777777" w:rsidR="00DF70F0" w:rsidRDefault="00DF70F0" w:rsidP="00860E0A">
      <w:pPr>
        <w:jc w:val="center"/>
      </w:pPr>
      <w:r>
        <w:t>Aquatic and Fishery Sciences</w:t>
      </w:r>
    </w:p>
    <w:p w14:paraId="23938939" w14:textId="77777777" w:rsidR="00DF70F0" w:rsidRDefault="00DF70F0"/>
    <w:p w14:paraId="6E042533" w14:textId="77777777" w:rsidR="00DF70F0" w:rsidRDefault="00DF70F0"/>
    <w:p w14:paraId="3013F909" w14:textId="77777777" w:rsidR="00DF70F0" w:rsidRDefault="00DF70F0"/>
    <w:p w14:paraId="09458A24" w14:textId="77777777" w:rsidR="00DF70F0" w:rsidRDefault="00DF70F0"/>
    <w:p w14:paraId="4BD13F93" w14:textId="77777777" w:rsidR="00DF70F0" w:rsidRDefault="00DF70F0"/>
    <w:p w14:paraId="3580C298" w14:textId="77777777" w:rsidR="00DF70F0" w:rsidRDefault="00DF70F0"/>
    <w:p w14:paraId="27B6130B" w14:textId="77777777" w:rsidR="00DF70F0" w:rsidRDefault="00DF70F0"/>
    <w:p w14:paraId="0F054DF6" w14:textId="77777777" w:rsidR="00DF70F0" w:rsidRDefault="00DF70F0"/>
    <w:p w14:paraId="598C9C59" w14:textId="77777777" w:rsidR="00DF70F0" w:rsidRDefault="00DF70F0"/>
    <w:p w14:paraId="0256F534" w14:textId="77777777" w:rsidR="00DF70F0" w:rsidRDefault="00DF70F0"/>
    <w:p w14:paraId="5D096A76" w14:textId="77777777" w:rsidR="00DF70F0" w:rsidRDefault="00DF70F0"/>
    <w:p w14:paraId="4D460EE7" w14:textId="77777777" w:rsidR="00DF70F0" w:rsidRDefault="00DF70F0"/>
    <w:p w14:paraId="13B6A331" w14:textId="77777777" w:rsidR="00DF70F0" w:rsidRDefault="00DF70F0"/>
    <w:p w14:paraId="609F3829" w14:textId="77777777" w:rsidR="00DF70F0" w:rsidRDefault="00DF70F0"/>
    <w:p w14:paraId="573A60EC" w14:textId="77777777" w:rsidR="00DF70F0" w:rsidRDefault="00DF70F0"/>
    <w:p w14:paraId="75A52A61" w14:textId="77777777" w:rsidR="00DF70F0" w:rsidRDefault="00DF70F0"/>
    <w:p w14:paraId="5C57B39D" w14:textId="77777777" w:rsidR="00DF70F0" w:rsidRDefault="00DF70F0"/>
    <w:p w14:paraId="2B9268ED" w14:textId="77777777" w:rsidR="00DF70F0" w:rsidRDefault="00DF70F0" w:rsidP="00F56FA1">
      <w:pPr>
        <w:jc w:val="center"/>
      </w:pPr>
      <w:r>
        <w:lastRenderedPageBreak/>
        <w:t>University of Washington</w:t>
      </w:r>
    </w:p>
    <w:p w14:paraId="2AD00C3D" w14:textId="77777777" w:rsidR="00DF70F0" w:rsidRDefault="00DF70F0" w:rsidP="00F56FA1">
      <w:pPr>
        <w:jc w:val="center"/>
      </w:pPr>
    </w:p>
    <w:p w14:paraId="0A724639" w14:textId="498A2671" w:rsidR="00DF70F0" w:rsidRDefault="00DF70F0" w:rsidP="00F56FA1">
      <w:pPr>
        <w:pStyle w:val="Heading1"/>
        <w:jc w:val="center"/>
      </w:pPr>
      <w:bookmarkStart w:id="0" w:name="_Toc252109965"/>
      <w:r>
        <w:t>Abstract</w:t>
      </w:r>
      <w:bookmarkEnd w:id="0"/>
    </w:p>
    <w:p w14:paraId="4323DFD2" w14:textId="77777777" w:rsidR="00AC2BC9" w:rsidRPr="00AC2BC9" w:rsidRDefault="00AC2BC9" w:rsidP="00AC2BC9"/>
    <w:p w14:paraId="5CFCA5D0" w14:textId="77777777" w:rsidR="00DF70F0" w:rsidRDefault="00DF70F0"/>
    <w:p w14:paraId="7781A701" w14:textId="77777777" w:rsidR="00426D9F" w:rsidRDefault="00426D9F" w:rsidP="00AC2BC9">
      <w:pPr>
        <w:jc w:val="center"/>
      </w:pPr>
      <w:r>
        <w:t xml:space="preserve">The Effects of Ocean Acidification on Multiple Life History Stages of the Pacific Oyster, </w:t>
      </w:r>
      <w:r>
        <w:rPr>
          <w:i/>
        </w:rPr>
        <w:t>Crassostrea gigas</w:t>
      </w:r>
      <w:r>
        <w:t>: Implications for Physiological Trade-offs</w:t>
      </w:r>
    </w:p>
    <w:p w14:paraId="28064812" w14:textId="77777777" w:rsidR="00DF70F0" w:rsidRDefault="00DF70F0" w:rsidP="00AC2BC9">
      <w:pPr>
        <w:jc w:val="center"/>
      </w:pPr>
    </w:p>
    <w:p w14:paraId="1407AF49" w14:textId="77777777" w:rsidR="00DF70F0" w:rsidRDefault="00DF70F0" w:rsidP="00AC2BC9">
      <w:pPr>
        <w:jc w:val="center"/>
      </w:pPr>
      <w:r>
        <w:t>Emma Timmins-Schiffman</w:t>
      </w:r>
    </w:p>
    <w:p w14:paraId="05DC47B5" w14:textId="77777777" w:rsidR="00DF70F0" w:rsidRDefault="00DF70F0" w:rsidP="00AC2BC9">
      <w:pPr>
        <w:jc w:val="center"/>
      </w:pPr>
    </w:p>
    <w:p w14:paraId="6EB7A977" w14:textId="77777777" w:rsidR="00DF70F0" w:rsidRDefault="00DF70F0" w:rsidP="00AC2BC9">
      <w:pPr>
        <w:jc w:val="center"/>
      </w:pPr>
      <w:r>
        <w:t>Chair of the Supervisory Committee:</w:t>
      </w:r>
    </w:p>
    <w:p w14:paraId="16ED3BB6" w14:textId="77777777" w:rsidR="00DF70F0" w:rsidRDefault="00DF70F0" w:rsidP="00AC2BC9">
      <w:pPr>
        <w:jc w:val="center"/>
      </w:pPr>
      <w:r>
        <w:t>Assistant Professor Steven B. Roberts</w:t>
      </w:r>
    </w:p>
    <w:p w14:paraId="261863CD" w14:textId="77777777" w:rsidR="00DF70F0" w:rsidRDefault="00DF70F0" w:rsidP="00AC2BC9">
      <w:pPr>
        <w:jc w:val="center"/>
      </w:pPr>
      <w:r>
        <w:t>School of Aquatic and Fishery Sciences</w:t>
      </w:r>
    </w:p>
    <w:p w14:paraId="524E6071" w14:textId="77777777" w:rsidR="00AC2BC9" w:rsidRDefault="00AC2BC9" w:rsidP="00AC2BC9">
      <w:pPr>
        <w:jc w:val="center"/>
      </w:pPr>
    </w:p>
    <w:p w14:paraId="387EE7F4" w14:textId="3792D5A9" w:rsidR="00AC2BC9" w:rsidRDefault="00AC2BC9" w:rsidP="00F56FA1">
      <w:pPr>
        <w:spacing w:line="360" w:lineRule="auto"/>
        <w:ind w:firstLine="720"/>
      </w:pPr>
      <w:r>
        <w:t>As global climate change progresses, due in large part to increasing emissions from fossil fuel use and land use change, natural ecosystems bear the consequences including increased temperature, decreased pH,</w:t>
      </w:r>
      <w:r w:rsidR="001C03BF">
        <w:t xml:space="preserve"> and</w:t>
      </w:r>
      <w:r>
        <w:t xml:space="preserve"> increased run-off.  These human-induced environmental changes will not have the same magnitude of effect in all regions, but on average the changes occurring are rapid and significant.  Natural populations will either need to acclimatize and/or adapt</w:t>
      </w:r>
      <w:r w:rsidR="001C03BF">
        <w:t>,</w:t>
      </w:r>
      <w:r>
        <w:t xml:space="preserve"> or shift their ranges to a less impacted area.  This dissertation explores the effects of ocean acidification on the Pacific oyster, </w:t>
      </w:r>
      <w:r>
        <w:rPr>
          <w:i/>
        </w:rPr>
        <w:t>Crassostrea gigas</w:t>
      </w:r>
      <w:r>
        <w:t xml:space="preserve">.  Oysters are sedentary and inhabit a naturally variable environment (the intertidal) and thus may be pre-adapted to withstand rapid environmental change.  </w:t>
      </w:r>
    </w:p>
    <w:p w14:paraId="1EEC5FE2" w14:textId="77777777" w:rsidR="00ED7FBC" w:rsidRDefault="00AC2BC9" w:rsidP="00F56FA1">
      <w:pPr>
        <w:spacing w:line="360" w:lineRule="auto"/>
        <w:ind w:firstLine="720"/>
      </w:pPr>
      <w:r>
        <w:t>In the first chapter, the effects of elevated partial pressure of CO</w:t>
      </w:r>
      <w:r w:rsidRPr="00AC2BC9">
        <w:rPr>
          <w:vertAlign w:val="subscript"/>
        </w:rPr>
        <w:t>2</w:t>
      </w:r>
      <w:r>
        <w:t xml:space="preserve"> (</w:t>
      </w:r>
      <w:r w:rsidRPr="00AC2BC9">
        <w:rPr>
          <w:i/>
        </w:rPr>
        <w:t>p</w:t>
      </w:r>
      <w:r>
        <w:t>CO</w:t>
      </w:r>
      <w:r w:rsidRPr="00AC2BC9">
        <w:rPr>
          <w:vertAlign w:val="subscript"/>
        </w:rPr>
        <w:t>2</w:t>
      </w:r>
      <w:r>
        <w:t xml:space="preserve">, the driving cause of ocean acidification) on oyster larvae are explored.  Larvae were exposed to low pH during early development, including the transition from energetic dependence on maternally derived lipids to dependence on exogenous resources.  Larvae were found to experience a developmental delay at elevated </w:t>
      </w:r>
      <w:r w:rsidRPr="00AB0DC5">
        <w:rPr>
          <w:i/>
        </w:rPr>
        <w:t>p</w:t>
      </w:r>
      <w:r>
        <w:t>CO</w:t>
      </w:r>
      <w:r w:rsidRPr="00AB0DC5">
        <w:rPr>
          <w:vertAlign w:val="subscript"/>
        </w:rPr>
        <w:t>2</w:t>
      </w:r>
      <w:r>
        <w:t xml:space="preserve">, manifested as smaller size and slower rate of shell deposition.  The second chapter explores the gill proteome (suite of expressed proteins) of adult oysters.  Characterization of the proteome provides insight into the physiological mechanisms that may be available to the oyster during environmental stress.   Lastly, the adult oyster response to ocean acidification and a second stress are explored via proteomics, fatty acid profiles, shell microstructure, and mortality in response to heat shock.   Whereas oysters showed a significant response to ocean acidification at the molecular level, in terms of response to elevated </w:t>
      </w:r>
      <w:r w:rsidRPr="00AB0DC5">
        <w:rPr>
          <w:i/>
        </w:rPr>
        <w:t>p</w:t>
      </w:r>
      <w:r>
        <w:t>CO</w:t>
      </w:r>
      <w:r w:rsidRPr="00AB0DC5">
        <w:rPr>
          <w:vertAlign w:val="subscript"/>
        </w:rPr>
        <w:t>2</w:t>
      </w:r>
      <w:r>
        <w:t xml:space="preserve"> and the effects of elevated </w:t>
      </w:r>
      <w:r w:rsidRPr="00AB0DC5">
        <w:rPr>
          <w:i/>
        </w:rPr>
        <w:t>p</w:t>
      </w:r>
      <w:r>
        <w:t>CO</w:t>
      </w:r>
      <w:r w:rsidRPr="00AB0DC5">
        <w:rPr>
          <w:vertAlign w:val="subscript"/>
        </w:rPr>
        <w:t>2</w:t>
      </w:r>
      <w:r>
        <w:t xml:space="preserve"> on the response to a second stressor, other physiological parameters were not significantly affected (response to heat shock and fatty acid profile).  These results reveal probable physiological trade-offs during exposure to ocean acidification, with mechanisms elucid</w:t>
      </w:r>
      <w:r w:rsidR="00F56FA1">
        <w:t>ated via the proteomic analysis</w:t>
      </w:r>
      <w:r w:rsidR="00ED7FBC">
        <w:t>.</w:t>
      </w:r>
    </w:p>
    <w:p w14:paraId="12C29B9C" w14:textId="77777777" w:rsidR="00ED7FBC" w:rsidRDefault="00ED7FBC" w:rsidP="00ED7FBC">
      <w:pPr>
        <w:spacing w:line="360" w:lineRule="auto"/>
      </w:pPr>
    </w:p>
    <w:p w14:paraId="4ED85F8D" w14:textId="77777777" w:rsidR="00ED7FBC" w:rsidRDefault="00ED7FBC" w:rsidP="00ED7FBC">
      <w:pPr>
        <w:spacing w:line="360" w:lineRule="auto"/>
      </w:pPr>
    </w:p>
    <w:p w14:paraId="5DD680AF" w14:textId="77777777" w:rsidR="00ED7FBC" w:rsidRDefault="00ED7FBC" w:rsidP="00ED7FBC">
      <w:pPr>
        <w:spacing w:line="360" w:lineRule="auto"/>
      </w:pPr>
    </w:p>
    <w:p w14:paraId="091398F6" w14:textId="77777777" w:rsidR="00ED7FBC" w:rsidRDefault="00ED7FBC" w:rsidP="00ED7FBC">
      <w:pPr>
        <w:spacing w:line="360" w:lineRule="auto"/>
      </w:pPr>
    </w:p>
    <w:p w14:paraId="4FDFD19C" w14:textId="77777777" w:rsidR="00ED7FBC" w:rsidRDefault="00ED7FBC" w:rsidP="00ED7FBC">
      <w:pPr>
        <w:spacing w:line="360" w:lineRule="auto"/>
      </w:pPr>
    </w:p>
    <w:p w14:paraId="58792902" w14:textId="77777777" w:rsidR="00ED7FBC" w:rsidRDefault="00ED7FBC" w:rsidP="00ED7FBC">
      <w:pPr>
        <w:spacing w:line="360" w:lineRule="auto"/>
      </w:pPr>
    </w:p>
    <w:p w14:paraId="3B271BAD" w14:textId="77777777" w:rsidR="00ED7FBC" w:rsidRDefault="00ED7FBC" w:rsidP="00ED7FBC">
      <w:pPr>
        <w:spacing w:line="360" w:lineRule="auto"/>
      </w:pPr>
    </w:p>
    <w:p w14:paraId="665D8F8A" w14:textId="77777777" w:rsidR="00ED7FBC" w:rsidRDefault="00ED7FBC" w:rsidP="00ED7FBC">
      <w:pPr>
        <w:spacing w:line="360" w:lineRule="auto"/>
      </w:pPr>
    </w:p>
    <w:p w14:paraId="2E589D37" w14:textId="77777777" w:rsidR="00ED7FBC" w:rsidRDefault="00ED7FBC" w:rsidP="00ED7FBC">
      <w:pPr>
        <w:spacing w:line="360" w:lineRule="auto"/>
      </w:pPr>
    </w:p>
    <w:p w14:paraId="18941908" w14:textId="77777777" w:rsidR="00ED7FBC" w:rsidRDefault="00ED7FBC" w:rsidP="00ED7FBC">
      <w:pPr>
        <w:spacing w:line="360" w:lineRule="auto"/>
      </w:pPr>
    </w:p>
    <w:p w14:paraId="0490F76A" w14:textId="77777777" w:rsidR="00ED7FBC" w:rsidRDefault="00ED7FBC" w:rsidP="00ED7FBC">
      <w:pPr>
        <w:spacing w:line="360" w:lineRule="auto"/>
      </w:pPr>
    </w:p>
    <w:p w14:paraId="48705721" w14:textId="77777777" w:rsidR="00ED7FBC" w:rsidRDefault="00ED7FBC" w:rsidP="00ED7FBC">
      <w:pPr>
        <w:spacing w:line="360" w:lineRule="auto"/>
      </w:pPr>
    </w:p>
    <w:p w14:paraId="18CB5A9E" w14:textId="77777777" w:rsidR="00ED7FBC" w:rsidRDefault="00ED7FBC" w:rsidP="00ED7FBC">
      <w:pPr>
        <w:spacing w:line="360" w:lineRule="auto"/>
      </w:pPr>
    </w:p>
    <w:p w14:paraId="4C6019C4" w14:textId="77777777" w:rsidR="00ED7FBC" w:rsidRDefault="00ED7FBC" w:rsidP="00ED7FBC">
      <w:pPr>
        <w:spacing w:line="360" w:lineRule="auto"/>
      </w:pPr>
    </w:p>
    <w:p w14:paraId="1DC96127" w14:textId="77777777" w:rsidR="00ED7FBC" w:rsidRDefault="00ED7FBC" w:rsidP="00ED7FBC">
      <w:pPr>
        <w:spacing w:line="360" w:lineRule="auto"/>
      </w:pPr>
    </w:p>
    <w:p w14:paraId="51A0CCB0" w14:textId="77777777" w:rsidR="00ED7FBC" w:rsidRDefault="00ED7FBC" w:rsidP="00ED7FBC">
      <w:pPr>
        <w:spacing w:line="360" w:lineRule="auto"/>
      </w:pPr>
    </w:p>
    <w:p w14:paraId="20D96CA2" w14:textId="77777777" w:rsidR="00ED7FBC" w:rsidRDefault="00ED7FBC" w:rsidP="00ED7FBC">
      <w:pPr>
        <w:spacing w:line="360" w:lineRule="auto"/>
      </w:pPr>
    </w:p>
    <w:p w14:paraId="50293D85" w14:textId="77777777" w:rsidR="00ED7FBC" w:rsidRDefault="00ED7FBC" w:rsidP="00ED7FBC">
      <w:pPr>
        <w:spacing w:line="360" w:lineRule="auto"/>
      </w:pPr>
    </w:p>
    <w:p w14:paraId="5929F9C5" w14:textId="77777777" w:rsidR="00ED7FBC" w:rsidRDefault="00ED7FBC" w:rsidP="00ED7FBC">
      <w:pPr>
        <w:spacing w:line="360" w:lineRule="auto"/>
      </w:pPr>
    </w:p>
    <w:p w14:paraId="3A5FEE55" w14:textId="77777777" w:rsidR="00ED7FBC" w:rsidRDefault="00ED7FBC" w:rsidP="00ED7FBC">
      <w:pPr>
        <w:spacing w:line="360" w:lineRule="auto"/>
      </w:pPr>
    </w:p>
    <w:p w14:paraId="0D46FEB6" w14:textId="77777777" w:rsidR="00ED7FBC" w:rsidRDefault="00ED7FBC" w:rsidP="00ED7FBC">
      <w:pPr>
        <w:spacing w:line="360" w:lineRule="auto"/>
      </w:pPr>
    </w:p>
    <w:p w14:paraId="77A638B2" w14:textId="77777777" w:rsidR="00ED7FBC" w:rsidRDefault="00ED7FBC" w:rsidP="00ED7FBC">
      <w:pPr>
        <w:spacing w:line="360" w:lineRule="auto"/>
      </w:pPr>
    </w:p>
    <w:p w14:paraId="3EDA07CA" w14:textId="77777777" w:rsidR="00ED7FBC" w:rsidRDefault="00ED7FBC" w:rsidP="00ED7FBC">
      <w:pPr>
        <w:spacing w:line="360" w:lineRule="auto"/>
      </w:pPr>
    </w:p>
    <w:p w14:paraId="4D69A56D" w14:textId="77777777" w:rsidR="00ED7FBC" w:rsidRDefault="00ED7FBC" w:rsidP="00ED7FBC">
      <w:pPr>
        <w:spacing w:line="360" w:lineRule="auto"/>
      </w:pPr>
    </w:p>
    <w:p w14:paraId="2891F998" w14:textId="6D272BA7" w:rsidR="00DF70F0" w:rsidRDefault="00DF70F0" w:rsidP="00ED7FBC">
      <w:pPr>
        <w:pStyle w:val="Heading1"/>
      </w:pPr>
      <w:bookmarkStart w:id="1" w:name="_Toc252109966"/>
      <w:r>
        <w:t>Table of Contents</w:t>
      </w:r>
      <w:bookmarkEnd w:id="1"/>
    </w:p>
    <w:p w14:paraId="236518BF" w14:textId="77777777" w:rsidR="00CB5AAE" w:rsidRDefault="00CB5AAE">
      <w:pPr>
        <w:pStyle w:val="TOC1"/>
        <w:tabs>
          <w:tab w:val="right" w:leader="dot" w:pos="8630"/>
        </w:tabs>
        <w:rPr>
          <w:noProof/>
        </w:rPr>
      </w:pPr>
      <w:r>
        <w:fldChar w:fldCharType="begin"/>
      </w:r>
      <w:r>
        <w:instrText xml:space="preserve"> TOC \o "1-3" </w:instrText>
      </w:r>
      <w:r>
        <w:fldChar w:fldCharType="separate"/>
      </w:r>
      <w:r>
        <w:rPr>
          <w:noProof/>
        </w:rPr>
        <w:t>Abstract</w:t>
      </w:r>
      <w:r>
        <w:rPr>
          <w:noProof/>
        </w:rPr>
        <w:tab/>
      </w:r>
      <w:r>
        <w:rPr>
          <w:noProof/>
        </w:rPr>
        <w:fldChar w:fldCharType="begin"/>
      </w:r>
      <w:r>
        <w:rPr>
          <w:noProof/>
        </w:rPr>
        <w:instrText xml:space="preserve"> PAGEREF _Toc252109965 \h </w:instrText>
      </w:r>
      <w:r>
        <w:rPr>
          <w:noProof/>
        </w:rPr>
      </w:r>
      <w:r>
        <w:rPr>
          <w:noProof/>
        </w:rPr>
        <w:fldChar w:fldCharType="separate"/>
      </w:r>
      <w:r>
        <w:rPr>
          <w:noProof/>
        </w:rPr>
        <w:t>2</w:t>
      </w:r>
      <w:r>
        <w:rPr>
          <w:noProof/>
        </w:rPr>
        <w:fldChar w:fldCharType="end"/>
      </w:r>
    </w:p>
    <w:p w14:paraId="78731EF1" w14:textId="77777777" w:rsidR="00CB5AAE" w:rsidRDefault="00CB5AAE">
      <w:pPr>
        <w:pStyle w:val="TOC1"/>
        <w:tabs>
          <w:tab w:val="right" w:leader="dot" w:pos="8630"/>
        </w:tabs>
        <w:rPr>
          <w:noProof/>
        </w:rPr>
      </w:pPr>
      <w:r>
        <w:rPr>
          <w:noProof/>
        </w:rPr>
        <w:t>Table of Contents</w:t>
      </w:r>
      <w:r>
        <w:rPr>
          <w:noProof/>
        </w:rPr>
        <w:tab/>
      </w:r>
      <w:r>
        <w:rPr>
          <w:noProof/>
        </w:rPr>
        <w:fldChar w:fldCharType="begin"/>
      </w:r>
      <w:r>
        <w:rPr>
          <w:noProof/>
        </w:rPr>
        <w:instrText xml:space="preserve"> PAGEREF _Toc252109966 \h </w:instrText>
      </w:r>
      <w:r>
        <w:rPr>
          <w:noProof/>
        </w:rPr>
      </w:r>
      <w:r>
        <w:rPr>
          <w:noProof/>
        </w:rPr>
        <w:fldChar w:fldCharType="separate"/>
      </w:r>
      <w:r>
        <w:rPr>
          <w:noProof/>
        </w:rPr>
        <w:t>4</w:t>
      </w:r>
      <w:r>
        <w:rPr>
          <w:noProof/>
        </w:rPr>
        <w:fldChar w:fldCharType="end"/>
      </w:r>
    </w:p>
    <w:p w14:paraId="7376EF4B" w14:textId="77777777" w:rsidR="00CB5AAE" w:rsidRDefault="00CB5AAE">
      <w:pPr>
        <w:pStyle w:val="TOC1"/>
        <w:tabs>
          <w:tab w:val="right" w:leader="dot" w:pos="8630"/>
        </w:tabs>
        <w:rPr>
          <w:noProof/>
        </w:rPr>
      </w:pPr>
      <w:r>
        <w:rPr>
          <w:noProof/>
        </w:rPr>
        <w:t>List of Figures</w:t>
      </w:r>
      <w:r>
        <w:rPr>
          <w:noProof/>
        </w:rPr>
        <w:tab/>
      </w:r>
      <w:r>
        <w:rPr>
          <w:noProof/>
        </w:rPr>
        <w:fldChar w:fldCharType="begin"/>
      </w:r>
      <w:r>
        <w:rPr>
          <w:noProof/>
        </w:rPr>
        <w:instrText xml:space="preserve"> PAGEREF _Toc252109967 \h </w:instrText>
      </w:r>
      <w:r>
        <w:rPr>
          <w:noProof/>
        </w:rPr>
      </w:r>
      <w:r>
        <w:rPr>
          <w:noProof/>
        </w:rPr>
        <w:fldChar w:fldCharType="separate"/>
      </w:r>
      <w:r>
        <w:rPr>
          <w:noProof/>
        </w:rPr>
        <w:t>6</w:t>
      </w:r>
      <w:r>
        <w:rPr>
          <w:noProof/>
        </w:rPr>
        <w:fldChar w:fldCharType="end"/>
      </w:r>
    </w:p>
    <w:p w14:paraId="34C7183E" w14:textId="77777777" w:rsidR="00CB5AAE" w:rsidRDefault="00CB5AAE">
      <w:pPr>
        <w:pStyle w:val="TOC1"/>
        <w:tabs>
          <w:tab w:val="right" w:leader="dot" w:pos="8630"/>
        </w:tabs>
        <w:rPr>
          <w:noProof/>
        </w:rPr>
      </w:pPr>
      <w:r>
        <w:rPr>
          <w:noProof/>
        </w:rPr>
        <w:t>List of Tables</w:t>
      </w:r>
      <w:r>
        <w:rPr>
          <w:noProof/>
        </w:rPr>
        <w:tab/>
      </w:r>
      <w:r>
        <w:rPr>
          <w:noProof/>
        </w:rPr>
        <w:fldChar w:fldCharType="begin"/>
      </w:r>
      <w:r>
        <w:rPr>
          <w:noProof/>
        </w:rPr>
        <w:instrText xml:space="preserve"> PAGEREF _Toc252109968 \h </w:instrText>
      </w:r>
      <w:r>
        <w:rPr>
          <w:noProof/>
        </w:rPr>
      </w:r>
      <w:r>
        <w:rPr>
          <w:noProof/>
        </w:rPr>
        <w:fldChar w:fldCharType="separate"/>
      </w:r>
      <w:r>
        <w:rPr>
          <w:noProof/>
        </w:rPr>
        <w:t>7</w:t>
      </w:r>
      <w:r>
        <w:rPr>
          <w:noProof/>
        </w:rPr>
        <w:fldChar w:fldCharType="end"/>
      </w:r>
    </w:p>
    <w:p w14:paraId="54F9D013" w14:textId="77777777" w:rsidR="00CB5AAE" w:rsidRDefault="00CB5AAE">
      <w:pPr>
        <w:pStyle w:val="TOC1"/>
        <w:tabs>
          <w:tab w:val="right" w:leader="dot" w:pos="8630"/>
        </w:tabs>
        <w:rPr>
          <w:noProof/>
        </w:rPr>
      </w:pPr>
      <w:r>
        <w:rPr>
          <w:noProof/>
        </w:rPr>
        <w:t>Introduction</w:t>
      </w:r>
      <w:r>
        <w:rPr>
          <w:noProof/>
        </w:rPr>
        <w:tab/>
      </w:r>
      <w:r>
        <w:rPr>
          <w:noProof/>
        </w:rPr>
        <w:fldChar w:fldCharType="begin"/>
      </w:r>
      <w:r>
        <w:rPr>
          <w:noProof/>
        </w:rPr>
        <w:instrText xml:space="preserve"> PAGEREF _Toc252109969 \h </w:instrText>
      </w:r>
      <w:r>
        <w:rPr>
          <w:noProof/>
        </w:rPr>
      </w:r>
      <w:r>
        <w:rPr>
          <w:noProof/>
        </w:rPr>
        <w:fldChar w:fldCharType="separate"/>
      </w:r>
      <w:r>
        <w:rPr>
          <w:noProof/>
        </w:rPr>
        <w:t>8</w:t>
      </w:r>
      <w:r>
        <w:rPr>
          <w:noProof/>
        </w:rPr>
        <w:fldChar w:fldCharType="end"/>
      </w:r>
    </w:p>
    <w:p w14:paraId="0EB042AB" w14:textId="77777777" w:rsidR="00CB5AAE" w:rsidRDefault="00CB5AAE">
      <w:pPr>
        <w:pStyle w:val="TOC2"/>
        <w:tabs>
          <w:tab w:val="right" w:leader="dot" w:pos="8630"/>
        </w:tabs>
        <w:rPr>
          <w:noProof/>
        </w:rPr>
      </w:pPr>
      <w:r>
        <w:rPr>
          <w:noProof/>
        </w:rPr>
        <w:t>Background</w:t>
      </w:r>
      <w:r>
        <w:rPr>
          <w:noProof/>
        </w:rPr>
        <w:tab/>
      </w:r>
      <w:r>
        <w:rPr>
          <w:noProof/>
        </w:rPr>
        <w:fldChar w:fldCharType="begin"/>
      </w:r>
      <w:r>
        <w:rPr>
          <w:noProof/>
        </w:rPr>
        <w:instrText xml:space="preserve"> PAGEREF _Toc252109970 \h </w:instrText>
      </w:r>
      <w:r>
        <w:rPr>
          <w:noProof/>
        </w:rPr>
      </w:r>
      <w:r>
        <w:rPr>
          <w:noProof/>
        </w:rPr>
        <w:fldChar w:fldCharType="separate"/>
      </w:r>
      <w:r>
        <w:rPr>
          <w:noProof/>
        </w:rPr>
        <w:t>8</w:t>
      </w:r>
      <w:r>
        <w:rPr>
          <w:noProof/>
        </w:rPr>
        <w:fldChar w:fldCharType="end"/>
      </w:r>
    </w:p>
    <w:p w14:paraId="1AFA64D4" w14:textId="77777777" w:rsidR="00CB5AAE" w:rsidRDefault="00CB5AAE">
      <w:pPr>
        <w:pStyle w:val="TOC2"/>
        <w:tabs>
          <w:tab w:val="right" w:leader="dot" w:pos="8630"/>
        </w:tabs>
        <w:rPr>
          <w:noProof/>
        </w:rPr>
      </w:pPr>
      <w:r>
        <w:rPr>
          <w:noProof/>
        </w:rPr>
        <w:t>Ocean acidification</w:t>
      </w:r>
      <w:r>
        <w:rPr>
          <w:noProof/>
        </w:rPr>
        <w:tab/>
      </w:r>
      <w:r>
        <w:rPr>
          <w:noProof/>
        </w:rPr>
        <w:fldChar w:fldCharType="begin"/>
      </w:r>
      <w:r>
        <w:rPr>
          <w:noProof/>
        </w:rPr>
        <w:instrText xml:space="preserve"> PAGEREF _Toc252109971 \h </w:instrText>
      </w:r>
      <w:r>
        <w:rPr>
          <w:noProof/>
        </w:rPr>
      </w:r>
      <w:r>
        <w:rPr>
          <w:noProof/>
        </w:rPr>
        <w:fldChar w:fldCharType="separate"/>
      </w:r>
      <w:r>
        <w:rPr>
          <w:noProof/>
        </w:rPr>
        <w:t>9</w:t>
      </w:r>
      <w:r>
        <w:rPr>
          <w:noProof/>
        </w:rPr>
        <w:fldChar w:fldCharType="end"/>
      </w:r>
    </w:p>
    <w:p w14:paraId="12FAD02A" w14:textId="77777777" w:rsidR="00CB5AAE" w:rsidRDefault="00CB5AAE">
      <w:pPr>
        <w:pStyle w:val="TOC3"/>
        <w:rPr>
          <w:noProof/>
        </w:rPr>
      </w:pPr>
      <w:r>
        <w:rPr>
          <w:noProof/>
        </w:rPr>
        <w:t>Chemistry</w:t>
      </w:r>
      <w:r>
        <w:rPr>
          <w:noProof/>
        </w:rPr>
        <w:tab/>
      </w:r>
      <w:r>
        <w:rPr>
          <w:noProof/>
        </w:rPr>
        <w:fldChar w:fldCharType="begin"/>
      </w:r>
      <w:r>
        <w:rPr>
          <w:noProof/>
        </w:rPr>
        <w:instrText xml:space="preserve"> PAGEREF _Toc252109972 \h </w:instrText>
      </w:r>
      <w:r>
        <w:rPr>
          <w:noProof/>
        </w:rPr>
      </w:r>
      <w:r>
        <w:rPr>
          <w:noProof/>
        </w:rPr>
        <w:fldChar w:fldCharType="separate"/>
      </w:r>
      <w:r>
        <w:rPr>
          <w:noProof/>
        </w:rPr>
        <w:t>9</w:t>
      </w:r>
      <w:r>
        <w:rPr>
          <w:noProof/>
        </w:rPr>
        <w:fldChar w:fldCharType="end"/>
      </w:r>
    </w:p>
    <w:p w14:paraId="3B10A91C" w14:textId="77777777" w:rsidR="00CB5AAE" w:rsidRDefault="00CB5AAE">
      <w:pPr>
        <w:pStyle w:val="TOC3"/>
        <w:rPr>
          <w:noProof/>
        </w:rPr>
      </w:pPr>
      <w:r>
        <w:rPr>
          <w:noProof/>
        </w:rPr>
        <w:t>Nearshore environmental processes</w:t>
      </w:r>
      <w:r>
        <w:rPr>
          <w:noProof/>
        </w:rPr>
        <w:tab/>
      </w:r>
      <w:r>
        <w:rPr>
          <w:noProof/>
        </w:rPr>
        <w:fldChar w:fldCharType="begin"/>
      </w:r>
      <w:r>
        <w:rPr>
          <w:noProof/>
        </w:rPr>
        <w:instrText xml:space="preserve"> PAGEREF _Toc252109973 \h </w:instrText>
      </w:r>
      <w:r>
        <w:rPr>
          <w:noProof/>
        </w:rPr>
      </w:r>
      <w:r>
        <w:rPr>
          <w:noProof/>
        </w:rPr>
        <w:fldChar w:fldCharType="separate"/>
      </w:r>
      <w:r>
        <w:rPr>
          <w:noProof/>
        </w:rPr>
        <w:t>10</w:t>
      </w:r>
      <w:r>
        <w:rPr>
          <w:noProof/>
        </w:rPr>
        <w:fldChar w:fldCharType="end"/>
      </w:r>
    </w:p>
    <w:p w14:paraId="09346673" w14:textId="77777777" w:rsidR="00CB5AAE" w:rsidRDefault="00CB5AAE">
      <w:pPr>
        <w:pStyle w:val="TOC3"/>
        <w:rPr>
          <w:noProof/>
        </w:rPr>
      </w:pPr>
      <w:r>
        <w:rPr>
          <w:noProof/>
        </w:rPr>
        <w:t>Ocean acidification in Puget Sound</w:t>
      </w:r>
      <w:r>
        <w:rPr>
          <w:noProof/>
        </w:rPr>
        <w:tab/>
      </w:r>
      <w:r>
        <w:rPr>
          <w:noProof/>
        </w:rPr>
        <w:fldChar w:fldCharType="begin"/>
      </w:r>
      <w:r>
        <w:rPr>
          <w:noProof/>
        </w:rPr>
        <w:instrText xml:space="preserve"> PAGEREF _Toc252109974 \h </w:instrText>
      </w:r>
      <w:r>
        <w:rPr>
          <w:noProof/>
        </w:rPr>
      </w:r>
      <w:r>
        <w:rPr>
          <w:noProof/>
        </w:rPr>
        <w:fldChar w:fldCharType="separate"/>
      </w:r>
      <w:r>
        <w:rPr>
          <w:noProof/>
        </w:rPr>
        <w:t>11</w:t>
      </w:r>
      <w:r>
        <w:rPr>
          <w:noProof/>
        </w:rPr>
        <w:fldChar w:fldCharType="end"/>
      </w:r>
    </w:p>
    <w:p w14:paraId="3A4B03FF" w14:textId="77777777" w:rsidR="00CB5AAE" w:rsidRDefault="00CB5AAE">
      <w:pPr>
        <w:pStyle w:val="TOC2"/>
        <w:tabs>
          <w:tab w:val="right" w:leader="dot" w:pos="8630"/>
        </w:tabs>
        <w:rPr>
          <w:noProof/>
        </w:rPr>
      </w:pPr>
      <w:r>
        <w:rPr>
          <w:noProof/>
        </w:rPr>
        <w:t>Implications for bivalves</w:t>
      </w:r>
      <w:r>
        <w:rPr>
          <w:noProof/>
        </w:rPr>
        <w:tab/>
      </w:r>
      <w:r>
        <w:rPr>
          <w:noProof/>
        </w:rPr>
        <w:fldChar w:fldCharType="begin"/>
      </w:r>
      <w:r>
        <w:rPr>
          <w:noProof/>
        </w:rPr>
        <w:instrText xml:space="preserve"> PAGEREF _Toc252109975 \h </w:instrText>
      </w:r>
      <w:r>
        <w:rPr>
          <w:noProof/>
        </w:rPr>
      </w:r>
      <w:r>
        <w:rPr>
          <w:noProof/>
        </w:rPr>
        <w:fldChar w:fldCharType="separate"/>
      </w:r>
      <w:r>
        <w:rPr>
          <w:noProof/>
        </w:rPr>
        <w:t>12</w:t>
      </w:r>
      <w:r>
        <w:rPr>
          <w:noProof/>
        </w:rPr>
        <w:fldChar w:fldCharType="end"/>
      </w:r>
    </w:p>
    <w:p w14:paraId="6AE52CA5" w14:textId="77777777" w:rsidR="00CB5AAE" w:rsidRDefault="00CB5AAE">
      <w:pPr>
        <w:pStyle w:val="TOC2"/>
        <w:tabs>
          <w:tab w:val="right" w:leader="dot" w:pos="8630"/>
        </w:tabs>
        <w:rPr>
          <w:noProof/>
        </w:rPr>
      </w:pPr>
      <w:r>
        <w:rPr>
          <w:noProof/>
        </w:rPr>
        <w:t>Applying Molecular Tools to Study Environmental Change</w:t>
      </w:r>
      <w:r>
        <w:rPr>
          <w:noProof/>
        </w:rPr>
        <w:tab/>
      </w:r>
      <w:r>
        <w:rPr>
          <w:noProof/>
        </w:rPr>
        <w:fldChar w:fldCharType="begin"/>
      </w:r>
      <w:r>
        <w:rPr>
          <w:noProof/>
        </w:rPr>
        <w:instrText xml:space="preserve"> PAGEREF _Toc252109976 \h </w:instrText>
      </w:r>
      <w:r>
        <w:rPr>
          <w:noProof/>
        </w:rPr>
      </w:r>
      <w:r>
        <w:rPr>
          <w:noProof/>
        </w:rPr>
        <w:fldChar w:fldCharType="separate"/>
      </w:r>
      <w:r>
        <w:rPr>
          <w:noProof/>
        </w:rPr>
        <w:t>14</w:t>
      </w:r>
      <w:r>
        <w:rPr>
          <w:noProof/>
        </w:rPr>
        <w:fldChar w:fldCharType="end"/>
      </w:r>
    </w:p>
    <w:p w14:paraId="74EE9C11" w14:textId="77777777" w:rsidR="00CB5AAE" w:rsidRDefault="00CB5AAE">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_Toc252109977 \h </w:instrText>
      </w:r>
      <w:r>
        <w:rPr>
          <w:noProof/>
        </w:rPr>
      </w:r>
      <w:r>
        <w:rPr>
          <w:noProof/>
        </w:rPr>
        <w:fldChar w:fldCharType="separate"/>
      </w:r>
      <w:r>
        <w:rPr>
          <w:noProof/>
        </w:rPr>
        <w:t>16</w:t>
      </w:r>
      <w:r>
        <w:rPr>
          <w:noProof/>
        </w:rPr>
        <w:fldChar w:fldCharType="end"/>
      </w:r>
    </w:p>
    <w:p w14:paraId="00E62833" w14:textId="77777777" w:rsidR="00CB5AAE" w:rsidRDefault="00CB5AAE">
      <w:pPr>
        <w:pStyle w:val="TOC1"/>
        <w:tabs>
          <w:tab w:val="right" w:leader="dot" w:pos="8630"/>
        </w:tabs>
        <w:rPr>
          <w:noProof/>
        </w:rPr>
      </w:pPr>
      <w:r>
        <w:rPr>
          <w:noProof/>
        </w:rPr>
        <w:t xml:space="preserve">Chapter I: Elevated </w:t>
      </w:r>
      <w:r w:rsidRPr="00A86147">
        <w:rPr>
          <w:i/>
          <w:noProof/>
        </w:rPr>
        <w:t>p</w:t>
      </w:r>
      <w:r>
        <w:rPr>
          <w:noProof/>
        </w:rPr>
        <w:t>CO</w:t>
      </w:r>
      <w:r w:rsidRPr="00A86147">
        <w:rPr>
          <w:noProof/>
          <w:vertAlign w:val="subscript"/>
        </w:rPr>
        <w:t>2</w:t>
      </w:r>
      <w:r>
        <w:rPr>
          <w:noProof/>
        </w:rPr>
        <w:t xml:space="preserve"> causes developmental delay in early larval Pacific oysters, </w:t>
      </w:r>
      <w:r w:rsidRPr="00A86147">
        <w:rPr>
          <w:i/>
          <w:noProof/>
        </w:rPr>
        <w:t>Crassostrea gigas</w:t>
      </w:r>
      <w:r>
        <w:rPr>
          <w:noProof/>
        </w:rPr>
        <w:tab/>
      </w:r>
      <w:r>
        <w:rPr>
          <w:noProof/>
        </w:rPr>
        <w:fldChar w:fldCharType="begin"/>
      </w:r>
      <w:r>
        <w:rPr>
          <w:noProof/>
        </w:rPr>
        <w:instrText xml:space="preserve"> PAGEREF _Toc252109978 \h </w:instrText>
      </w:r>
      <w:r>
        <w:rPr>
          <w:noProof/>
        </w:rPr>
      </w:r>
      <w:r>
        <w:rPr>
          <w:noProof/>
        </w:rPr>
        <w:fldChar w:fldCharType="separate"/>
      </w:r>
      <w:r>
        <w:rPr>
          <w:noProof/>
        </w:rPr>
        <w:t>22</w:t>
      </w:r>
      <w:r>
        <w:rPr>
          <w:noProof/>
        </w:rPr>
        <w:fldChar w:fldCharType="end"/>
      </w:r>
    </w:p>
    <w:p w14:paraId="18A0CEEC" w14:textId="77777777" w:rsidR="00CB5AAE" w:rsidRDefault="00CB5AAE">
      <w:pPr>
        <w:pStyle w:val="TOC2"/>
        <w:tabs>
          <w:tab w:val="right" w:leader="dot" w:pos="8630"/>
        </w:tabs>
        <w:rPr>
          <w:noProof/>
        </w:rPr>
      </w:pPr>
      <w:r>
        <w:rPr>
          <w:noProof/>
        </w:rPr>
        <w:t>Abstract</w:t>
      </w:r>
      <w:r>
        <w:rPr>
          <w:noProof/>
        </w:rPr>
        <w:tab/>
      </w:r>
      <w:r>
        <w:rPr>
          <w:noProof/>
        </w:rPr>
        <w:fldChar w:fldCharType="begin"/>
      </w:r>
      <w:r>
        <w:rPr>
          <w:noProof/>
        </w:rPr>
        <w:instrText xml:space="preserve"> PAGEREF _Toc252109979 \h </w:instrText>
      </w:r>
      <w:r>
        <w:rPr>
          <w:noProof/>
        </w:rPr>
      </w:r>
      <w:r>
        <w:rPr>
          <w:noProof/>
        </w:rPr>
        <w:fldChar w:fldCharType="separate"/>
      </w:r>
      <w:r>
        <w:rPr>
          <w:noProof/>
        </w:rPr>
        <w:t>22</w:t>
      </w:r>
      <w:r>
        <w:rPr>
          <w:noProof/>
        </w:rPr>
        <w:fldChar w:fldCharType="end"/>
      </w:r>
    </w:p>
    <w:p w14:paraId="6C2EF585" w14:textId="77777777" w:rsidR="00CB5AAE" w:rsidRDefault="00CB5AAE">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_Toc252109980 \h </w:instrText>
      </w:r>
      <w:r>
        <w:rPr>
          <w:noProof/>
        </w:rPr>
      </w:r>
      <w:r>
        <w:rPr>
          <w:noProof/>
        </w:rPr>
        <w:fldChar w:fldCharType="separate"/>
      </w:r>
      <w:r>
        <w:rPr>
          <w:noProof/>
        </w:rPr>
        <w:t>22</w:t>
      </w:r>
      <w:r>
        <w:rPr>
          <w:noProof/>
        </w:rPr>
        <w:fldChar w:fldCharType="end"/>
      </w:r>
    </w:p>
    <w:p w14:paraId="608DE716" w14:textId="77777777" w:rsidR="00CB5AAE" w:rsidRDefault="00CB5AAE">
      <w:pPr>
        <w:pStyle w:val="TOC2"/>
        <w:tabs>
          <w:tab w:val="right" w:leader="dot" w:pos="8630"/>
        </w:tabs>
        <w:rPr>
          <w:noProof/>
        </w:rPr>
      </w:pPr>
      <w:r>
        <w:rPr>
          <w:noProof/>
        </w:rPr>
        <w:t>Materials and methods</w:t>
      </w:r>
      <w:r>
        <w:rPr>
          <w:noProof/>
        </w:rPr>
        <w:tab/>
      </w:r>
      <w:r>
        <w:rPr>
          <w:noProof/>
        </w:rPr>
        <w:fldChar w:fldCharType="begin"/>
      </w:r>
      <w:r>
        <w:rPr>
          <w:noProof/>
        </w:rPr>
        <w:instrText xml:space="preserve"> PAGEREF _Toc252109981 \h </w:instrText>
      </w:r>
      <w:r>
        <w:rPr>
          <w:noProof/>
        </w:rPr>
      </w:r>
      <w:r>
        <w:rPr>
          <w:noProof/>
        </w:rPr>
        <w:fldChar w:fldCharType="separate"/>
      </w:r>
      <w:r>
        <w:rPr>
          <w:noProof/>
        </w:rPr>
        <w:t>26</w:t>
      </w:r>
      <w:r>
        <w:rPr>
          <w:noProof/>
        </w:rPr>
        <w:fldChar w:fldCharType="end"/>
      </w:r>
    </w:p>
    <w:p w14:paraId="3EE731A6" w14:textId="77777777" w:rsidR="00CB5AAE" w:rsidRDefault="00CB5AAE">
      <w:pPr>
        <w:pStyle w:val="TOC3"/>
        <w:rPr>
          <w:noProof/>
        </w:rPr>
      </w:pPr>
      <w:r>
        <w:rPr>
          <w:noProof/>
        </w:rPr>
        <w:t>Seawater chemistry manipulation</w:t>
      </w:r>
      <w:r>
        <w:rPr>
          <w:noProof/>
        </w:rPr>
        <w:tab/>
      </w:r>
      <w:r>
        <w:rPr>
          <w:noProof/>
        </w:rPr>
        <w:fldChar w:fldCharType="begin"/>
      </w:r>
      <w:r>
        <w:rPr>
          <w:noProof/>
        </w:rPr>
        <w:instrText xml:space="preserve"> PAGEREF _Toc252109982 \h </w:instrText>
      </w:r>
      <w:r>
        <w:rPr>
          <w:noProof/>
        </w:rPr>
      </w:r>
      <w:r>
        <w:rPr>
          <w:noProof/>
        </w:rPr>
        <w:fldChar w:fldCharType="separate"/>
      </w:r>
      <w:r>
        <w:rPr>
          <w:noProof/>
        </w:rPr>
        <w:t>26</w:t>
      </w:r>
      <w:r>
        <w:rPr>
          <w:noProof/>
        </w:rPr>
        <w:fldChar w:fldCharType="end"/>
      </w:r>
    </w:p>
    <w:p w14:paraId="46689468" w14:textId="77777777" w:rsidR="00CB5AAE" w:rsidRDefault="00CB5AAE">
      <w:pPr>
        <w:pStyle w:val="TOC3"/>
        <w:rPr>
          <w:noProof/>
        </w:rPr>
      </w:pPr>
      <w:r>
        <w:rPr>
          <w:noProof/>
        </w:rPr>
        <w:t>Oysters</w:t>
      </w:r>
      <w:r>
        <w:rPr>
          <w:noProof/>
        </w:rPr>
        <w:tab/>
      </w:r>
      <w:r>
        <w:rPr>
          <w:noProof/>
        </w:rPr>
        <w:fldChar w:fldCharType="begin"/>
      </w:r>
      <w:r>
        <w:rPr>
          <w:noProof/>
        </w:rPr>
        <w:instrText xml:space="preserve"> PAGEREF _Toc252109983 \h </w:instrText>
      </w:r>
      <w:r>
        <w:rPr>
          <w:noProof/>
        </w:rPr>
      </w:r>
      <w:r>
        <w:rPr>
          <w:noProof/>
        </w:rPr>
        <w:fldChar w:fldCharType="separate"/>
      </w:r>
      <w:r>
        <w:rPr>
          <w:noProof/>
        </w:rPr>
        <w:t>26</w:t>
      </w:r>
      <w:r>
        <w:rPr>
          <w:noProof/>
        </w:rPr>
        <w:fldChar w:fldCharType="end"/>
      </w:r>
    </w:p>
    <w:p w14:paraId="35123139" w14:textId="77777777" w:rsidR="00CB5AAE" w:rsidRDefault="00CB5AAE">
      <w:pPr>
        <w:pStyle w:val="TOC3"/>
        <w:rPr>
          <w:noProof/>
        </w:rPr>
      </w:pPr>
      <w:r>
        <w:rPr>
          <w:noProof/>
        </w:rPr>
        <w:t>Carbonate chemistry</w:t>
      </w:r>
      <w:r>
        <w:rPr>
          <w:noProof/>
        </w:rPr>
        <w:tab/>
      </w:r>
      <w:r>
        <w:rPr>
          <w:noProof/>
        </w:rPr>
        <w:fldChar w:fldCharType="begin"/>
      </w:r>
      <w:r>
        <w:rPr>
          <w:noProof/>
        </w:rPr>
        <w:instrText xml:space="preserve"> PAGEREF _Toc252109984 \h </w:instrText>
      </w:r>
      <w:r>
        <w:rPr>
          <w:noProof/>
        </w:rPr>
      </w:r>
      <w:r>
        <w:rPr>
          <w:noProof/>
        </w:rPr>
        <w:fldChar w:fldCharType="separate"/>
      </w:r>
      <w:r>
        <w:rPr>
          <w:noProof/>
        </w:rPr>
        <w:t>28</w:t>
      </w:r>
      <w:r>
        <w:rPr>
          <w:noProof/>
        </w:rPr>
        <w:fldChar w:fldCharType="end"/>
      </w:r>
    </w:p>
    <w:p w14:paraId="15F73093" w14:textId="77777777" w:rsidR="00CB5AAE" w:rsidRDefault="00CB5AAE">
      <w:pPr>
        <w:pStyle w:val="TOC3"/>
        <w:rPr>
          <w:noProof/>
        </w:rPr>
      </w:pPr>
      <w:r>
        <w:rPr>
          <w:noProof/>
        </w:rPr>
        <w:t>Statistics</w:t>
      </w:r>
      <w:r>
        <w:rPr>
          <w:noProof/>
        </w:rPr>
        <w:tab/>
      </w:r>
      <w:r>
        <w:rPr>
          <w:noProof/>
        </w:rPr>
        <w:fldChar w:fldCharType="begin"/>
      </w:r>
      <w:r>
        <w:rPr>
          <w:noProof/>
        </w:rPr>
        <w:instrText xml:space="preserve"> PAGEREF _Toc252109985 \h </w:instrText>
      </w:r>
      <w:r>
        <w:rPr>
          <w:noProof/>
        </w:rPr>
      </w:r>
      <w:r>
        <w:rPr>
          <w:noProof/>
        </w:rPr>
        <w:fldChar w:fldCharType="separate"/>
      </w:r>
      <w:r>
        <w:rPr>
          <w:noProof/>
        </w:rPr>
        <w:t>28</w:t>
      </w:r>
      <w:r>
        <w:rPr>
          <w:noProof/>
        </w:rPr>
        <w:fldChar w:fldCharType="end"/>
      </w:r>
    </w:p>
    <w:p w14:paraId="470F3B36" w14:textId="77777777" w:rsidR="00CB5AAE" w:rsidRDefault="00CB5AAE">
      <w:pPr>
        <w:pStyle w:val="TOC2"/>
        <w:tabs>
          <w:tab w:val="right" w:leader="dot" w:pos="8630"/>
        </w:tabs>
        <w:rPr>
          <w:noProof/>
        </w:rPr>
      </w:pPr>
      <w:r>
        <w:rPr>
          <w:noProof/>
        </w:rPr>
        <w:t>Results</w:t>
      </w:r>
      <w:r>
        <w:rPr>
          <w:noProof/>
        </w:rPr>
        <w:tab/>
      </w:r>
      <w:r>
        <w:rPr>
          <w:noProof/>
        </w:rPr>
        <w:fldChar w:fldCharType="begin"/>
      </w:r>
      <w:r>
        <w:rPr>
          <w:noProof/>
        </w:rPr>
        <w:instrText xml:space="preserve"> PAGEREF _Toc252109986 \h </w:instrText>
      </w:r>
      <w:r>
        <w:rPr>
          <w:noProof/>
        </w:rPr>
      </w:r>
      <w:r>
        <w:rPr>
          <w:noProof/>
        </w:rPr>
        <w:fldChar w:fldCharType="separate"/>
      </w:r>
      <w:r>
        <w:rPr>
          <w:noProof/>
        </w:rPr>
        <w:t>29</w:t>
      </w:r>
      <w:r>
        <w:rPr>
          <w:noProof/>
        </w:rPr>
        <w:fldChar w:fldCharType="end"/>
      </w:r>
    </w:p>
    <w:p w14:paraId="2E5F6F38" w14:textId="77777777" w:rsidR="00CB5AAE" w:rsidRDefault="00CB5AAE">
      <w:pPr>
        <w:pStyle w:val="TOC3"/>
        <w:rPr>
          <w:noProof/>
        </w:rPr>
      </w:pPr>
      <w:r>
        <w:rPr>
          <w:noProof/>
        </w:rPr>
        <w:t>Carbonate chemistry</w:t>
      </w:r>
      <w:r>
        <w:rPr>
          <w:noProof/>
        </w:rPr>
        <w:tab/>
      </w:r>
      <w:r>
        <w:rPr>
          <w:noProof/>
        </w:rPr>
        <w:fldChar w:fldCharType="begin"/>
      </w:r>
      <w:r>
        <w:rPr>
          <w:noProof/>
        </w:rPr>
        <w:instrText xml:space="preserve"> PAGEREF _Toc252109987 \h </w:instrText>
      </w:r>
      <w:r>
        <w:rPr>
          <w:noProof/>
        </w:rPr>
      </w:r>
      <w:r>
        <w:rPr>
          <w:noProof/>
        </w:rPr>
        <w:fldChar w:fldCharType="separate"/>
      </w:r>
      <w:r>
        <w:rPr>
          <w:noProof/>
        </w:rPr>
        <w:t>29</w:t>
      </w:r>
      <w:r>
        <w:rPr>
          <w:noProof/>
        </w:rPr>
        <w:fldChar w:fldCharType="end"/>
      </w:r>
    </w:p>
    <w:p w14:paraId="1E3A80B3" w14:textId="77777777" w:rsidR="00CB5AAE" w:rsidRDefault="00CB5AAE">
      <w:pPr>
        <w:pStyle w:val="TOC3"/>
        <w:rPr>
          <w:noProof/>
        </w:rPr>
      </w:pPr>
      <w:r>
        <w:rPr>
          <w:noProof/>
        </w:rPr>
        <w:t>Size, development, and calcification</w:t>
      </w:r>
      <w:r>
        <w:rPr>
          <w:noProof/>
        </w:rPr>
        <w:tab/>
      </w:r>
      <w:r>
        <w:rPr>
          <w:noProof/>
        </w:rPr>
        <w:fldChar w:fldCharType="begin"/>
      </w:r>
      <w:r>
        <w:rPr>
          <w:noProof/>
        </w:rPr>
        <w:instrText xml:space="preserve"> PAGEREF _Toc252109988 \h </w:instrText>
      </w:r>
      <w:r>
        <w:rPr>
          <w:noProof/>
        </w:rPr>
      </w:r>
      <w:r>
        <w:rPr>
          <w:noProof/>
        </w:rPr>
        <w:fldChar w:fldCharType="separate"/>
      </w:r>
      <w:r>
        <w:rPr>
          <w:noProof/>
        </w:rPr>
        <w:t>30</w:t>
      </w:r>
      <w:r>
        <w:rPr>
          <w:noProof/>
        </w:rPr>
        <w:fldChar w:fldCharType="end"/>
      </w:r>
    </w:p>
    <w:p w14:paraId="45682633" w14:textId="77777777" w:rsidR="00CB5AAE" w:rsidRDefault="00CB5AAE">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_Toc252109989 \h </w:instrText>
      </w:r>
      <w:r>
        <w:rPr>
          <w:noProof/>
        </w:rPr>
      </w:r>
      <w:r>
        <w:rPr>
          <w:noProof/>
        </w:rPr>
        <w:fldChar w:fldCharType="separate"/>
      </w:r>
      <w:r>
        <w:rPr>
          <w:noProof/>
        </w:rPr>
        <w:t>34</w:t>
      </w:r>
      <w:r>
        <w:rPr>
          <w:noProof/>
        </w:rPr>
        <w:fldChar w:fldCharType="end"/>
      </w:r>
    </w:p>
    <w:p w14:paraId="478E3DD5" w14:textId="77777777" w:rsidR="00CB5AAE" w:rsidRDefault="00CB5AAE">
      <w:pPr>
        <w:pStyle w:val="TOC2"/>
        <w:tabs>
          <w:tab w:val="right" w:leader="dot" w:pos="8630"/>
        </w:tabs>
        <w:rPr>
          <w:noProof/>
        </w:rPr>
      </w:pPr>
      <w:r>
        <w:rPr>
          <w:noProof/>
        </w:rPr>
        <w:t>Conclusions</w:t>
      </w:r>
      <w:r>
        <w:rPr>
          <w:noProof/>
        </w:rPr>
        <w:tab/>
      </w:r>
      <w:r>
        <w:rPr>
          <w:noProof/>
        </w:rPr>
        <w:fldChar w:fldCharType="begin"/>
      </w:r>
      <w:r>
        <w:rPr>
          <w:noProof/>
        </w:rPr>
        <w:instrText xml:space="preserve"> PAGEREF _Toc252109990 \h </w:instrText>
      </w:r>
      <w:r>
        <w:rPr>
          <w:noProof/>
        </w:rPr>
      </w:r>
      <w:r>
        <w:rPr>
          <w:noProof/>
        </w:rPr>
        <w:fldChar w:fldCharType="separate"/>
      </w:r>
      <w:r>
        <w:rPr>
          <w:noProof/>
        </w:rPr>
        <w:t>38</w:t>
      </w:r>
      <w:r>
        <w:rPr>
          <w:noProof/>
        </w:rPr>
        <w:fldChar w:fldCharType="end"/>
      </w:r>
    </w:p>
    <w:p w14:paraId="36E6DCE9" w14:textId="77777777" w:rsidR="00CB5AAE" w:rsidRDefault="00CB5AAE">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_Toc252109991 \h </w:instrText>
      </w:r>
      <w:r>
        <w:rPr>
          <w:noProof/>
        </w:rPr>
      </w:r>
      <w:r>
        <w:rPr>
          <w:noProof/>
        </w:rPr>
        <w:fldChar w:fldCharType="separate"/>
      </w:r>
      <w:r>
        <w:rPr>
          <w:noProof/>
        </w:rPr>
        <w:t>38</w:t>
      </w:r>
      <w:r>
        <w:rPr>
          <w:noProof/>
        </w:rPr>
        <w:fldChar w:fldCharType="end"/>
      </w:r>
    </w:p>
    <w:p w14:paraId="51B5A9E4" w14:textId="77777777" w:rsidR="00CB5AAE" w:rsidRDefault="00CB5AAE">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_Toc252109992 \h </w:instrText>
      </w:r>
      <w:r>
        <w:rPr>
          <w:noProof/>
        </w:rPr>
      </w:r>
      <w:r>
        <w:rPr>
          <w:noProof/>
        </w:rPr>
        <w:fldChar w:fldCharType="separate"/>
      </w:r>
      <w:r>
        <w:rPr>
          <w:noProof/>
        </w:rPr>
        <w:t>39</w:t>
      </w:r>
      <w:r>
        <w:rPr>
          <w:noProof/>
        </w:rPr>
        <w:fldChar w:fldCharType="end"/>
      </w:r>
    </w:p>
    <w:p w14:paraId="4143621A" w14:textId="77777777" w:rsidR="00CB5AAE" w:rsidRDefault="00CB5AAE">
      <w:pPr>
        <w:pStyle w:val="TOC1"/>
        <w:tabs>
          <w:tab w:val="right" w:leader="dot" w:pos="8630"/>
        </w:tabs>
        <w:rPr>
          <w:noProof/>
        </w:rPr>
      </w:pPr>
      <w:r>
        <w:rPr>
          <w:noProof/>
        </w:rPr>
        <w:t>Chapter II:  Shotgun proteomics as a viable approach for biological discovery in the Pacific oyster</w:t>
      </w:r>
      <w:r>
        <w:rPr>
          <w:noProof/>
        </w:rPr>
        <w:tab/>
      </w:r>
      <w:r>
        <w:rPr>
          <w:noProof/>
        </w:rPr>
        <w:fldChar w:fldCharType="begin"/>
      </w:r>
      <w:r>
        <w:rPr>
          <w:noProof/>
        </w:rPr>
        <w:instrText xml:space="preserve"> PAGEREF _Toc252109993 \h </w:instrText>
      </w:r>
      <w:r>
        <w:rPr>
          <w:noProof/>
        </w:rPr>
      </w:r>
      <w:r>
        <w:rPr>
          <w:noProof/>
        </w:rPr>
        <w:fldChar w:fldCharType="separate"/>
      </w:r>
      <w:r>
        <w:rPr>
          <w:noProof/>
        </w:rPr>
        <w:t>43</w:t>
      </w:r>
      <w:r>
        <w:rPr>
          <w:noProof/>
        </w:rPr>
        <w:fldChar w:fldCharType="end"/>
      </w:r>
    </w:p>
    <w:p w14:paraId="511743DB" w14:textId="77777777" w:rsidR="00CB5AAE" w:rsidRDefault="00CB5AAE">
      <w:pPr>
        <w:pStyle w:val="TOC2"/>
        <w:tabs>
          <w:tab w:val="right" w:leader="dot" w:pos="8630"/>
        </w:tabs>
        <w:rPr>
          <w:noProof/>
        </w:rPr>
      </w:pPr>
      <w:r>
        <w:rPr>
          <w:noProof/>
        </w:rPr>
        <w:t>Abstract</w:t>
      </w:r>
      <w:r>
        <w:rPr>
          <w:noProof/>
        </w:rPr>
        <w:tab/>
      </w:r>
      <w:r>
        <w:rPr>
          <w:noProof/>
        </w:rPr>
        <w:fldChar w:fldCharType="begin"/>
      </w:r>
      <w:r>
        <w:rPr>
          <w:noProof/>
        </w:rPr>
        <w:instrText xml:space="preserve"> PAGEREF _Toc252109994 \h </w:instrText>
      </w:r>
      <w:r>
        <w:rPr>
          <w:noProof/>
        </w:rPr>
      </w:r>
      <w:r>
        <w:rPr>
          <w:noProof/>
        </w:rPr>
        <w:fldChar w:fldCharType="separate"/>
      </w:r>
      <w:r>
        <w:rPr>
          <w:noProof/>
        </w:rPr>
        <w:t>43</w:t>
      </w:r>
      <w:r>
        <w:rPr>
          <w:noProof/>
        </w:rPr>
        <w:fldChar w:fldCharType="end"/>
      </w:r>
    </w:p>
    <w:p w14:paraId="0492FC2F" w14:textId="77777777" w:rsidR="00CB5AAE" w:rsidRDefault="00CB5AAE">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_Toc252109995 \h </w:instrText>
      </w:r>
      <w:r>
        <w:rPr>
          <w:noProof/>
        </w:rPr>
      </w:r>
      <w:r>
        <w:rPr>
          <w:noProof/>
        </w:rPr>
        <w:fldChar w:fldCharType="separate"/>
      </w:r>
      <w:r>
        <w:rPr>
          <w:noProof/>
        </w:rPr>
        <w:t>43</w:t>
      </w:r>
      <w:r>
        <w:rPr>
          <w:noProof/>
        </w:rPr>
        <w:fldChar w:fldCharType="end"/>
      </w:r>
    </w:p>
    <w:p w14:paraId="15E13F77" w14:textId="77777777" w:rsidR="00CB5AAE" w:rsidRDefault="00CB5AAE">
      <w:pPr>
        <w:pStyle w:val="TOC2"/>
        <w:tabs>
          <w:tab w:val="right" w:leader="dot" w:pos="8630"/>
        </w:tabs>
        <w:rPr>
          <w:noProof/>
        </w:rPr>
      </w:pPr>
      <w:r>
        <w:rPr>
          <w:noProof/>
        </w:rPr>
        <w:t>Methods</w:t>
      </w:r>
      <w:r>
        <w:rPr>
          <w:noProof/>
        </w:rPr>
        <w:tab/>
      </w:r>
      <w:r>
        <w:rPr>
          <w:noProof/>
        </w:rPr>
        <w:fldChar w:fldCharType="begin"/>
      </w:r>
      <w:r>
        <w:rPr>
          <w:noProof/>
        </w:rPr>
        <w:instrText xml:space="preserve"> PAGEREF _Toc252109996 \h </w:instrText>
      </w:r>
      <w:r>
        <w:rPr>
          <w:noProof/>
        </w:rPr>
      </w:r>
      <w:r>
        <w:rPr>
          <w:noProof/>
        </w:rPr>
        <w:fldChar w:fldCharType="separate"/>
      </w:r>
      <w:r>
        <w:rPr>
          <w:noProof/>
        </w:rPr>
        <w:t>46</w:t>
      </w:r>
      <w:r>
        <w:rPr>
          <w:noProof/>
        </w:rPr>
        <w:fldChar w:fldCharType="end"/>
      </w:r>
    </w:p>
    <w:p w14:paraId="7D4C6808" w14:textId="77777777" w:rsidR="00CB5AAE" w:rsidRDefault="00CB5AAE">
      <w:pPr>
        <w:pStyle w:val="TOC3"/>
        <w:rPr>
          <w:noProof/>
        </w:rPr>
      </w:pPr>
      <w:r>
        <w:rPr>
          <w:noProof/>
        </w:rPr>
        <w:t>Oysters</w:t>
      </w:r>
      <w:r>
        <w:rPr>
          <w:noProof/>
        </w:rPr>
        <w:tab/>
      </w:r>
      <w:r>
        <w:rPr>
          <w:noProof/>
        </w:rPr>
        <w:fldChar w:fldCharType="begin"/>
      </w:r>
      <w:r>
        <w:rPr>
          <w:noProof/>
        </w:rPr>
        <w:instrText xml:space="preserve"> PAGEREF _Toc252109997 \h </w:instrText>
      </w:r>
      <w:r>
        <w:rPr>
          <w:noProof/>
        </w:rPr>
      </w:r>
      <w:r>
        <w:rPr>
          <w:noProof/>
        </w:rPr>
        <w:fldChar w:fldCharType="separate"/>
      </w:r>
      <w:r>
        <w:rPr>
          <w:noProof/>
        </w:rPr>
        <w:t>46</w:t>
      </w:r>
      <w:r>
        <w:rPr>
          <w:noProof/>
        </w:rPr>
        <w:fldChar w:fldCharType="end"/>
      </w:r>
    </w:p>
    <w:p w14:paraId="773FF6C2" w14:textId="77777777" w:rsidR="00CB5AAE" w:rsidRDefault="00CB5AAE">
      <w:pPr>
        <w:pStyle w:val="TOC3"/>
        <w:rPr>
          <w:noProof/>
        </w:rPr>
      </w:pPr>
      <w:r>
        <w:rPr>
          <w:noProof/>
        </w:rPr>
        <w:t>Protein digestion and desalting</w:t>
      </w:r>
      <w:r>
        <w:rPr>
          <w:noProof/>
        </w:rPr>
        <w:tab/>
      </w:r>
      <w:r>
        <w:rPr>
          <w:noProof/>
        </w:rPr>
        <w:fldChar w:fldCharType="begin"/>
      </w:r>
      <w:r>
        <w:rPr>
          <w:noProof/>
        </w:rPr>
        <w:instrText xml:space="preserve"> PAGEREF _Toc252109998 \h </w:instrText>
      </w:r>
      <w:r>
        <w:rPr>
          <w:noProof/>
        </w:rPr>
      </w:r>
      <w:r>
        <w:rPr>
          <w:noProof/>
        </w:rPr>
        <w:fldChar w:fldCharType="separate"/>
      </w:r>
      <w:r>
        <w:rPr>
          <w:noProof/>
        </w:rPr>
        <w:t>47</w:t>
      </w:r>
      <w:r>
        <w:rPr>
          <w:noProof/>
        </w:rPr>
        <w:fldChar w:fldCharType="end"/>
      </w:r>
    </w:p>
    <w:p w14:paraId="6BEA7A6B" w14:textId="77777777" w:rsidR="00CB5AAE" w:rsidRDefault="00CB5AAE">
      <w:pPr>
        <w:pStyle w:val="TOC3"/>
        <w:rPr>
          <w:noProof/>
        </w:rPr>
      </w:pPr>
      <w:r>
        <w:rPr>
          <w:noProof/>
        </w:rPr>
        <w:t>Liquid chromatography and tandem mass spectrometry</w:t>
      </w:r>
      <w:r>
        <w:rPr>
          <w:noProof/>
        </w:rPr>
        <w:tab/>
      </w:r>
      <w:r>
        <w:rPr>
          <w:noProof/>
        </w:rPr>
        <w:fldChar w:fldCharType="begin"/>
      </w:r>
      <w:r>
        <w:rPr>
          <w:noProof/>
        </w:rPr>
        <w:instrText xml:space="preserve"> PAGEREF _Toc252109999 \h </w:instrText>
      </w:r>
      <w:r>
        <w:rPr>
          <w:noProof/>
        </w:rPr>
      </w:r>
      <w:r>
        <w:rPr>
          <w:noProof/>
        </w:rPr>
        <w:fldChar w:fldCharType="separate"/>
      </w:r>
      <w:r>
        <w:rPr>
          <w:noProof/>
        </w:rPr>
        <w:t>47</w:t>
      </w:r>
      <w:r>
        <w:rPr>
          <w:noProof/>
        </w:rPr>
        <w:fldChar w:fldCharType="end"/>
      </w:r>
    </w:p>
    <w:p w14:paraId="1D674426" w14:textId="77777777" w:rsidR="00CB5AAE" w:rsidRDefault="00CB5AAE">
      <w:pPr>
        <w:pStyle w:val="TOC3"/>
        <w:rPr>
          <w:noProof/>
        </w:rPr>
      </w:pPr>
      <w:r>
        <w:rPr>
          <w:noProof/>
        </w:rPr>
        <w:t>Data acquisition</w:t>
      </w:r>
      <w:r>
        <w:rPr>
          <w:noProof/>
        </w:rPr>
        <w:tab/>
      </w:r>
      <w:r>
        <w:rPr>
          <w:noProof/>
        </w:rPr>
        <w:fldChar w:fldCharType="begin"/>
      </w:r>
      <w:r>
        <w:rPr>
          <w:noProof/>
        </w:rPr>
        <w:instrText xml:space="preserve"> PAGEREF _Toc252110000 \h </w:instrText>
      </w:r>
      <w:r>
        <w:rPr>
          <w:noProof/>
        </w:rPr>
      </w:r>
      <w:r>
        <w:rPr>
          <w:noProof/>
        </w:rPr>
        <w:fldChar w:fldCharType="separate"/>
      </w:r>
      <w:r>
        <w:rPr>
          <w:noProof/>
        </w:rPr>
        <w:t>48</w:t>
      </w:r>
      <w:r>
        <w:rPr>
          <w:noProof/>
        </w:rPr>
        <w:fldChar w:fldCharType="end"/>
      </w:r>
    </w:p>
    <w:p w14:paraId="1DAE213A" w14:textId="77777777" w:rsidR="00CB5AAE" w:rsidRDefault="00CB5AAE">
      <w:pPr>
        <w:pStyle w:val="TOC3"/>
        <w:rPr>
          <w:noProof/>
        </w:rPr>
      </w:pPr>
      <w:r>
        <w:rPr>
          <w:noProof/>
        </w:rPr>
        <w:t>Protein identification and data analysis</w:t>
      </w:r>
      <w:r>
        <w:rPr>
          <w:noProof/>
        </w:rPr>
        <w:tab/>
      </w:r>
      <w:r>
        <w:rPr>
          <w:noProof/>
        </w:rPr>
        <w:fldChar w:fldCharType="begin"/>
      </w:r>
      <w:r>
        <w:rPr>
          <w:noProof/>
        </w:rPr>
        <w:instrText xml:space="preserve"> PAGEREF _Toc252110001 \h </w:instrText>
      </w:r>
      <w:r>
        <w:rPr>
          <w:noProof/>
        </w:rPr>
      </w:r>
      <w:r>
        <w:rPr>
          <w:noProof/>
        </w:rPr>
        <w:fldChar w:fldCharType="separate"/>
      </w:r>
      <w:r>
        <w:rPr>
          <w:noProof/>
        </w:rPr>
        <w:t>49</w:t>
      </w:r>
      <w:r>
        <w:rPr>
          <w:noProof/>
        </w:rPr>
        <w:fldChar w:fldCharType="end"/>
      </w:r>
    </w:p>
    <w:p w14:paraId="3C3D631F" w14:textId="77777777" w:rsidR="00CB5AAE" w:rsidRDefault="00CB5AAE">
      <w:pPr>
        <w:pStyle w:val="TOC2"/>
        <w:tabs>
          <w:tab w:val="right" w:leader="dot" w:pos="8630"/>
        </w:tabs>
        <w:rPr>
          <w:noProof/>
        </w:rPr>
      </w:pPr>
      <w:r>
        <w:rPr>
          <w:noProof/>
        </w:rPr>
        <w:t>Results</w:t>
      </w:r>
      <w:r>
        <w:rPr>
          <w:noProof/>
        </w:rPr>
        <w:tab/>
      </w:r>
      <w:r>
        <w:rPr>
          <w:noProof/>
        </w:rPr>
        <w:fldChar w:fldCharType="begin"/>
      </w:r>
      <w:r>
        <w:rPr>
          <w:noProof/>
        </w:rPr>
        <w:instrText xml:space="preserve"> PAGEREF _Toc252110002 \h </w:instrText>
      </w:r>
      <w:r>
        <w:rPr>
          <w:noProof/>
        </w:rPr>
      </w:r>
      <w:r>
        <w:rPr>
          <w:noProof/>
        </w:rPr>
        <w:fldChar w:fldCharType="separate"/>
      </w:r>
      <w:r>
        <w:rPr>
          <w:noProof/>
        </w:rPr>
        <w:t>50</w:t>
      </w:r>
      <w:r>
        <w:rPr>
          <w:noProof/>
        </w:rPr>
        <w:fldChar w:fldCharType="end"/>
      </w:r>
    </w:p>
    <w:p w14:paraId="1A1066D1" w14:textId="77777777" w:rsidR="00CB5AAE" w:rsidRDefault="00CB5AAE">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_Toc252110003 \h </w:instrText>
      </w:r>
      <w:r>
        <w:rPr>
          <w:noProof/>
        </w:rPr>
      </w:r>
      <w:r>
        <w:rPr>
          <w:noProof/>
        </w:rPr>
        <w:fldChar w:fldCharType="separate"/>
      </w:r>
      <w:r>
        <w:rPr>
          <w:noProof/>
        </w:rPr>
        <w:t>55</w:t>
      </w:r>
      <w:r>
        <w:rPr>
          <w:noProof/>
        </w:rPr>
        <w:fldChar w:fldCharType="end"/>
      </w:r>
    </w:p>
    <w:p w14:paraId="02452F81" w14:textId="77777777" w:rsidR="00CB5AAE" w:rsidRDefault="00CB5AAE">
      <w:pPr>
        <w:pStyle w:val="TOC2"/>
        <w:tabs>
          <w:tab w:val="right" w:leader="dot" w:pos="8630"/>
        </w:tabs>
        <w:rPr>
          <w:noProof/>
        </w:rPr>
      </w:pPr>
      <w:r>
        <w:rPr>
          <w:noProof/>
        </w:rPr>
        <w:t>Supplementary Information</w:t>
      </w:r>
      <w:r>
        <w:rPr>
          <w:noProof/>
        </w:rPr>
        <w:tab/>
      </w:r>
      <w:r>
        <w:rPr>
          <w:noProof/>
        </w:rPr>
        <w:fldChar w:fldCharType="begin"/>
      </w:r>
      <w:r>
        <w:rPr>
          <w:noProof/>
        </w:rPr>
        <w:instrText xml:space="preserve"> PAGEREF _Toc252110004 \h </w:instrText>
      </w:r>
      <w:r>
        <w:rPr>
          <w:noProof/>
        </w:rPr>
      </w:r>
      <w:r>
        <w:rPr>
          <w:noProof/>
        </w:rPr>
        <w:fldChar w:fldCharType="separate"/>
      </w:r>
      <w:r>
        <w:rPr>
          <w:noProof/>
        </w:rPr>
        <w:t>58</w:t>
      </w:r>
      <w:r>
        <w:rPr>
          <w:noProof/>
        </w:rPr>
        <w:fldChar w:fldCharType="end"/>
      </w:r>
    </w:p>
    <w:p w14:paraId="333C1798" w14:textId="77777777" w:rsidR="00CB5AAE" w:rsidRDefault="00CB5AAE">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_Toc252110005 \h </w:instrText>
      </w:r>
      <w:r>
        <w:rPr>
          <w:noProof/>
        </w:rPr>
      </w:r>
      <w:r>
        <w:rPr>
          <w:noProof/>
        </w:rPr>
        <w:fldChar w:fldCharType="separate"/>
      </w:r>
      <w:r>
        <w:rPr>
          <w:noProof/>
        </w:rPr>
        <w:t>59</w:t>
      </w:r>
      <w:r>
        <w:rPr>
          <w:noProof/>
        </w:rPr>
        <w:fldChar w:fldCharType="end"/>
      </w:r>
    </w:p>
    <w:p w14:paraId="2361F0BF" w14:textId="77777777" w:rsidR="00CB5AAE" w:rsidRDefault="00CB5AAE">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_Toc252110006 \h </w:instrText>
      </w:r>
      <w:r>
        <w:rPr>
          <w:noProof/>
        </w:rPr>
      </w:r>
      <w:r>
        <w:rPr>
          <w:noProof/>
        </w:rPr>
        <w:fldChar w:fldCharType="separate"/>
      </w:r>
      <w:r>
        <w:rPr>
          <w:noProof/>
        </w:rPr>
        <w:t>59</w:t>
      </w:r>
      <w:r>
        <w:rPr>
          <w:noProof/>
        </w:rPr>
        <w:fldChar w:fldCharType="end"/>
      </w:r>
    </w:p>
    <w:p w14:paraId="7F5DA7A6" w14:textId="77777777" w:rsidR="00CB5AAE" w:rsidRDefault="00CB5AAE">
      <w:pPr>
        <w:pStyle w:val="TOC1"/>
        <w:tabs>
          <w:tab w:val="right" w:leader="dot" w:pos="8630"/>
        </w:tabs>
        <w:rPr>
          <w:noProof/>
        </w:rPr>
      </w:pPr>
      <w:r>
        <w:rPr>
          <w:noProof/>
        </w:rPr>
        <w:t>Chapter III:  From shell deposition to protein expression: An integrative assessment of ocean acidification impacts on a marine invertebrate</w:t>
      </w:r>
      <w:r>
        <w:rPr>
          <w:noProof/>
        </w:rPr>
        <w:tab/>
      </w:r>
      <w:r>
        <w:rPr>
          <w:noProof/>
        </w:rPr>
        <w:fldChar w:fldCharType="begin"/>
      </w:r>
      <w:r>
        <w:rPr>
          <w:noProof/>
        </w:rPr>
        <w:instrText xml:space="preserve"> PAGEREF _Toc252110007 \h </w:instrText>
      </w:r>
      <w:r>
        <w:rPr>
          <w:noProof/>
        </w:rPr>
      </w:r>
      <w:r>
        <w:rPr>
          <w:noProof/>
        </w:rPr>
        <w:fldChar w:fldCharType="separate"/>
      </w:r>
      <w:r>
        <w:rPr>
          <w:noProof/>
        </w:rPr>
        <w:t>62</w:t>
      </w:r>
      <w:r>
        <w:rPr>
          <w:noProof/>
        </w:rPr>
        <w:fldChar w:fldCharType="end"/>
      </w:r>
    </w:p>
    <w:p w14:paraId="46F58A75" w14:textId="77777777" w:rsidR="00CB5AAE" w:rsidRDefault="00CB5AAE">
      <w:pPr>
        <w:pStyle w:val="TOC2"/>
        <w:tabs>
          <w:tab w:val="right" w:leader="dot" w:pos="8630"/>
        </w:tabs>
        <w:rPr>
          <w:noProof/>
        </w:rPr>
      </w:pPr>
      <w:r>
        <w:rPr>
          <w:noProof/>
        </w:rPr>
        <w:t>Abstract</w:t>
      </w:r>
      <w:r>
        <w:rPr>
          <w:noProof/>
        </w:rPr>
        <w:tab/>
      </w:r>
      <w:r>
        <w:rPr>
          <w:noProof/>
        </w:rPr>
        <w:fldChar w:fldCharType="begin"/>
      </w:r>
      <w:r>
        <w:rPr>
          <w:noProof/>
        </w:rPr>
        <w:instrText xml:space="preserve"> PAGEREF _Toc252110008 \h </w:instrText>
      </w:r>
      <w:r>
        <w:rPr>
          <w:noProof/>
        </w:rPr>
      </w:r>
      <w:r>
        <w:rPr>
          <w:noProof/>
        </w:rPr>
        <w:fldChar w:fldCharType="separate"/>
      </w:r>
      <w:r>
        <w:rPr>
          <w:noProof/>
        </w:rPr>
        <w:t>62</w:t>
      </w:r>
      <w:r>
        <w:rPr>
          <w:noProof/>
        </w:rPr>
        <w:fldChar w:fldCharType="end"/>
      </w:r>
    </w:p>
    <w:p w14:paraId="54CD8DC8" w14:textId="77777777" w:rsidR="00CB5AAE" w:rsidRDefault="00CB5AAE">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_Toc252110009 \h </w:instrText>
      </w:r>
      <w:r>
        <w:rPr>
          <w:noProof/>
        </w:rPr>
      </w:r>
      <w:r>
        <w:rPr>
          <w:noProof/>
        </w:rPr>
        <w:fldChar w:fldCharType="separate"/>
      </w:r>
      <w:r>
        <w:rPr>
          <w:noProof/>
        </w:rPr>
        <w:t>63</w:t>
      </w:r>
      <w:r>
        <w:rPr>
          <w:noProof/>
        </w:rPr>
        <w:fldChar w:fldCharType="end"/>
      </w:r>
    </w:p>
    <w:p w14:paraId="6CC52558" w14:textId="77777777" w:rsidR="00CB5AAE" w:rsidRDefault="00CB5AAE">
      <w:pPr>
        <w:pStyle w:val="TOC2"/>
        <w:tabs>
          <w:tab w:val="right" w:leader="dot" w:pos="8630"/>
        </w:tabs>
        <w:rPr>
          <w:noProof/>
        </w:rPr>
      </w:pPr>
      <w:r>
        <w:rPr>
          <w:noProof/>
        </w:rPr>
        <w:t>Methods</w:t>
      </w:r>
      <w:r>
        <w:rPr>
          <w:noProof/>
        </w:rPr>
        <w:tab/>
      </w:r>
      <w:r>
        <w:rPr>
          <w:noProof/>
        </w:rPr>
        <w:fldChar w:fldCharType="begin"/>
      </w:r>
      <w:r>
        <w:rPr>
          <w:noProof/>
        </w:rPr>
        <w:instrText xml:space="preserve"> PAGEREF _Toc252110010 \h </w:instrText>
      </w:r>
      <w:r>
        <w:rPr>
          <w:noProof/>
        </w:rPr>
      </w:r>
      <w:r>
        <w:rPr>
          <w:noProof/>
        </w:rPr>
        <w:fldChar w:fldCharType="separate"/>
      </w:r>
      <w:r>
        <w:rPr>
          <w:noProof/>
        </w:rPr>
        <w:t>65</w:t>
      </w:r>
      <w:r>
        <w:rPr>
          <w:noProof/>
        </w:rPr>
        <w:fldChar w:fldCharType="end"/>
      </w:r>
    </w:p>
    <w:p w14:paraId="62368C30" w14:textId="77777777" w:rsidR="00CB5AAE" w:rsidRDefault="00CB5AAE">
      <w:pPr>
        <w:pStyle w:val="TOC3"/>
        <w:rPr>
          <w:noProof/>
        </w:rPr>
      </w:pPr>
      <w:r>
        <w:rPr>
          <w:noProof/>
        </w:rPr>
        <w:t>Ocean acidification system</w:t>
      </w:r>
      <w:r>
        <w:rPr>
          <w:noProof/>
        </w:rPr>
        <w:tab/>
      </w:r>
      <w:r>
        <w:rPr>
          <w:noProof/>
        </w:rPr>
        <w:fldChar w:fldCharType="begin"/>
      </w:r>
      <w:r>
        <w:rPr>
          <w:noProof/>
        </w:rPr>
        <w:instrText xml:space="preserve"> PAGEREF _Toc252110011 \h </w:instrText>
      </w:r>
      <w:r>
        <w:rPr>
          <w:noProof/>
        </w:rPr>
      </w:r>
      <w:r>
        <w:rPr>
          <w:noProof/>
        </w:rPr>
        <w:fldChar w:fldCharType="separate"/>
      </w:r>
      <w:r>
        <w:rPr>
          <w:noProof/>
        </w:rPr>
        <w:t>65</w:t>
      </w:r>
      <w:r>
        <w:rPr>
          <w:noProof/>
        </w:rPr>
        <w:fldChar w:fldCharType="end"/>
      </w:r>
    </w:p>
    <w:p w14:paraId="61AD0AF1" w14:textId="77777777" w:rsidR="00CB5AAE" w:rsidRDefault="00CB5AAE">
      <w:pPr>
        <w:pStyle w:val="TOC3"/>
        <w:rPr>
          <w:noProof/>
        </w:rPr>
      </w:pPr>
      <w:r>
        <w:rPr>
          <w:noProof/>
        </w:rPr>
        <w:t>Experimental design</w:t>
      </w:r>
      <w:r>
        <w:rPr>
          <w:noProof/>
        </w:rPr>
        <w:tab/>
      </w:r>
      <w:r>
        <w:rPr>
          <w:noProof/>
        </w:rPr>
        <w:fldChar w:fldCharType="begin"/>
      </w:r>
      <w:r>
        <w:rPr>
          <w:noProof/>
        </w:rPr>
        <w:instrText xml:space="preserve"> PAGEREF _Toc252110012 \h </w:instrText>
      </w:r>
      <w:r>
        <w:rPr>
          <w:noProof/>
        </w:rPr>
      </w:r>
      <w:r>
        <w:rPr>
          <w:noProof/>
        </w:rPr>
        <w:fldChar w:fldCharType="separate"/>
      </w:r>
      <w:r>
        <w:rPr>
          <w:noProof/>
        </w:rPr>
        <w:t>66</w:t>
      </w:r>
      <w:r>
        <w:rPr>
          <w:noProof/>
        </w:rPr>
        <w:fldChar w:fldCharType="end"/>
      </w:r>
    </w:p>
    <w:p w14:paraId="4689A2E8" w14:textId="77777777" w:rsidR="00CB5AAE" w:rsidRDefault="00CB5AAE">
      <w:pPr>
        <w:pStyle w:val="TOC3"/>
        <w:rPr>
          <w:noProof/>
        </w:rPr>
      </w:pPr>
      <w:r>
        <w:rPr>
          <w:noProof/>
        </w:rPr>
        <w:t>Shell micromechanical properties</w:t>
      </w:r>
      <w:r>
        <w:rPr>
          <w:noProof/>
        </w:rPr>
        <w:tab/>
      </w:r>
      <w:r>
        <w:rPr>
          <w:noProof/>
        </w:rPr>
        <w:fldChar w:fldCharType="begin"/>
      </w:r>
      <w:r>
        <w:rPr>
          <w:noProof/>
        </w:rPr>
        <w:instrText xml:space="preserve"> PAGEREF _Toc252110013 \h </w:instrText>
      </w:r>
      <w:r>
        <w:rPr>
          <w:noProof/>
        </w:rPr>
      </w:r>
      <w:r>
        <w:rPr>
          <w:noProof/>
        </w:rPr>
        <w:fldChar w:fldCharType="separate"/>
      </w:r>
      <w:r>
        <w:rPr>
          <w:noProof/>
        </w:rPr>
        <w:t>67</w:t>
      </w:r>
      <w:r>
        <w:rPr>
          <w:noProof/>
        </w:rPr>
        <w:fldChar w:fldCharType="end"/>
      </w:r>
    </w:p>
    <w:p w14:paraId="293B7294" w14:textId="77777777" w:rsidR="00CB5AAE" w:rsidRDefault="00CB5AAE">
      <w:pPr>
        <w:pStyle w:val="TOC3"/>
        <w:rPr>
          <w:noProof/>
        </w:rPr>
      </w:pPr>
      <w:r>
        <w:rPr>
          <w:noProof/>
        </w:rPr>
        <w:t>Fatty acid analysis</w:t>
      </w:r>
      <w:r>
        <w:rPr>
          <w:noProof/>
        </w:rPr>
        <w:tab/>
      </w:r>
      <w:r>
        <w:rPr>
          <w:noProof/>
        </w:rPr>
        <w:fldChar w:fldCharType="begin"/>
      </w:r>
      <w:r>
        <w:rPr>
          <w:noProof/>
        </w:rPr>
        <w:instrText xml:space="preserve"> PAGEREF _Toc252110014 \h </w:instrText>
      </w:r>
      <w:r>
        <w:rPr>
          <w:noProof/>
        </w:rPr>
      </w:r>
      <w:r>
        <w:rPr>
          <w:noProof/>
        </w:rPr>
        <w:fldChar w:fldCharType="separate"/>
      </w:r>
      <w:r>
        <w:rPr>
          <w:noProof/>
        </w:rPr>
        <w:t>69</w:t>
      </w:r>
      <w:r>
        <w:rPr>
          <w:noProof/>
        </w:rPr>
        <w:fldChar w:fldCharType="end"/>
      </w:r>
    </w:p>
    <w:p w14:paraId="68A75880" w14:textId="77777777" w:rsidR="00CB5AAE" w:rsidRDefault="00CB5AAE">
      <w:pPr>
        <w:pStyle w:val="TOC3"/>
        <w:rPr>
          <w:noProof/>
        </w:rPr>
      </w:pPr>
      <w:r>
        <w:rPr>
          <w:noProof/>
        </w:rPr>
        <w:t>Heat shock</w:t>
      </w:r>
      <w:r>
        <w:rPr>
          <w:noProof/>
        </w:rPr>
        <w:tab/>
      </w:r>
      <w:r>
        <w:rPr>
          <w:noProof/>
        </w:rPr>
        <w:fldChar w:fldCharType="begin"/>
      </w:r>
      <w:r>
        <w:rPr>
          <w:noProof/>
        </w:rPr>
        <w:instrText xml:space="preserve"> PAGEREF _Toc252110015 \h </w:instrText>
      </w:r>
      <w:r>
        <w:rPr>
          <w:noProof/>
        </w:rPr>
      </w:r>
      <w:r>
        <w:rPr>
          <w:noProof/>
        </w:rPr>
        <w:fldChar w:fldCharType="separate"/>
      </w:r>
      <w:r>
        <w:rPr>
          <w:noProof/>
        </w:rPr>
        <w:t>69</w:t>
      </w:r>
      <w:r>
        <w:rPr>
          <w:noProof/>
        </w:rPr>
        <w:fldChar w:fldCharType="end"/>
      </w:r>
    </w:p>
    <w:p w14:paraId="76FB244D" w14:textId="77777777" w:rsidR="00CB5AAE" w:rsidRDefault="00CB5AAE">
      <w:pPr>
        <w:pStyle w:val="TOC3"/>
        <w:rPr>
          <w:noProof/>
        </w:rPr>
      </w:pPr>
      <w:r>
        <w:rPr>
          <w:noProof/>
        </w:rPr>
        <w:t>Liquid chromatography and tandem mass spectrometry (LC-MS/MS)</w:t>
      </w:r>
      <w:r>
        <w:rPr>
          <w:noProof/>
        </w:rPr>
        <w:tab/>
      </w:r>
      <w:r>
        <w:rPr>
          <w:noProof/>
        </w:rPr>
        <w:fldChar w:fldCharType="begin"/>
      </w:r>
      <w:r>
        <w:rPr>
          <w:noProof/>
        </w:rPr>
        <w:instrText xml:space="preserve"> PAGEREF _Toc252110016 \h </w:instrText>
      </w:r>
      <w:r>
        <w:rPr>
          <w:noProof/>
        </w:rPr>
      </w:r>
      <w:r>
        <w:rPr>
          <w:noProof/>
        </w:rPr>
        <w:fldChar w:fldCharType="separate"/>
      </w:r>
      <w:r>
        <w:rPr>
          <w:noProof/>
        </w:rPr>
        <w:t>70</w:t>
      </w:r>
      <w:r>
        <w:rPr>
          <w:noProof/>
        </w:rPr>
        <w:fldChar w:fldCharType="end"/>
      </w:r>
    </w:p>
    <w:p w14:paraId="1BAC9D34" w14:textId="77777777" w:rsidR="00CB5AAE" w:rsidRDefault="00CB5AAE">
      <w:pPr>
        <w:pStyle w:val="TOC3"/>
        <w:rPr>
          <w:noProof/>
        </w:rPr>
      </w:pPr>
      <w:r>
        <w:rPr>
          <w:noProof/>
        </w:rPr>
        <w:t>Protein informatics analysis</w:t>
      </w:r>
      <w:r>
        <w:rPr>
          <w:noProof/>
        </w:rPr>
        <w:tab/>
      </w:r>
      <w:r>
        <w:rPr>
          <w:noProof/>
        </w:rPr>
        <w:fldChar w:fldCharType="begin"/>
      </w:r>
      <w:r>
        <w:rPr>
          <w:noProof/>
        </w:rPr>
        <w:instrText xml:space="preserve"> PAGEREF _Toc252110017 \h </w:instrText>
      </w:r>
      <w:r>
        <w:rPr>
          <w:noProof/>
        </w:rPr>
      </w:r>
      <w:r>
        <w:rPr>
          <w:noProof/>
        </w:rPr>
        <w:fldChar w:fldCharType="separate"/>
      </w:r>
      <w:r>
        <w:rPr>
          <w:noProof/>
        </w:rPr>
        <w:t>70</w:t>
      </w:r>
      <w:r>
        <w:rPr>
          <w:noProof/>
        </w:rPr>
        <w:fldChar w:fldCharType="end"/>
      </w:r>
    </w:p>
    <w:p w14:paraId="481797DA" w14:textId="77777777" w:rsidR="00CB5AAE" w:rsidRDefault="00CB5AAE">
      <w:pPr>
        <w:pStyle w:val="TOC2"/>
        <w:tabs>
          <w:tab w:val="right" w:leader="dot" w:pos="8630"/>
        </w:tabs>
        <w:rPr>
          <w:noProof/>
        </w:rPr>
      </w:pPr>
      <w:r>
        <w:rPr>
          <w:noProof/>
        </w:rPr>
        <w:t>Results</w:t>
      </w:r>
      <w:r>
        <w:rPr>
          <w:noProof/>
        </w:rPr>
        <w:tab/>
      </w:r>
      <w:r>
        <w:rPr>
          <w:noProof/>
        </w:rPr>
        <w:fldChar w:fldCharType="begin"/>
      </w:r>
      <w:r>
        <w:rPr>
          <w:noProof/>
        </w:rPr>
        <w:instrText xml:space="preserve"> PAGEREF _Toc252110018 \h </w:instrText>
      </w:r>
      <w:r>
        <w:rPr>
          <w:noProof/>
        </w:rPr>
      </w:r>
      <w:r>
        <w:rPr>
          <w:noProof/>
        </w:rPr>
        <w:fldChar w:fldCharType="separate"/>
      </w:r>
      <w:r>
        <w:rPr>
          <w:noProof/>
        </w:rPr>
        <w:t>72</w:t>
      </w:r>
      <w:r>
        <w:rPr>
          <w:noProof/>
        </w:rPr>
        <w:fldChar w:fldCharType="end"/>
      </w:r>
    </w:p>
    <w:p w14:paraId="4C29565E" w14:textId="77777777" w:rsidR="00CB5AAE" w:rsidRDefault="00CB5AAE">
      <w:pPr>
        <w:pStyle w:val="TOC3"/>
        <w:rPr>
          <w:noProof/>
        </w:rPr>
      </w:pPr>
      <w:r>
        <w:rPr>
          <w:noProof/>
        </w:rPr>
        <w:t>Seawater chemistry analysis</w:t>
      </w:r>
      <w:r>
        <w:rPr>
          <w:noProof/>
        </w:rPr>
        <w:tab/>
      </w:r>
      <w:r>
        <w:rPr>
          <w:noProof/>
        </w:rPr>
        <w:fldChar w:fldCharType="begin"/>
      </w:r>
      <w:r>
        <w:rPr>
          <w:noProof/>
        </w:rPr>
        <w:instrText xml:space="preserve"> PAGEREF _Toc252110019 \h </w:instrText>
      </w:r>
      <w:r>
        <w:rPr>
          <w:noProof/>
        </w:rPr>
      </w:r>
      <w:r>
        <w:rPr>
          <w:noProof/>
        </w:rPr>
        <w:fldChar w:fldCharType="separate"/>
      </w:r>
      <w:r>
        <w:rPr>
          <w:noProof/>
        </w:rPr>
        <w:t>72</w:t>
      </w:r>
      <w:r>
        <w:rPr>
          <w:noProof/>
        </w:rPr>
        <w:fldChar w:fldCharType="end"/>
      </w:r>
    </w:p>
    <w:p w14:paraId="68E33B9F" w14:textId="77777777" w:rsidR="00CB5AAE" w:rsidRDefault="00CB5AAE">
      <w:pPr>
        <w:pStyle w:val="TOC3"/>
        <w:rPr>
          <w:noProof/>
        </w:rPr>
      </w:pPr>
      <w:r>
        <w:rPr>
          <w:noProof/>
        </w:rPr>
        <w:t>Oyster growth</w:t>
      </w:r>
      <w:r>
        <w:rPr>
          <w:noProof/>
        </w:rPr>
        <w:tab/>
      </w:r>
      <w:r>
        <w:rPr>
          <w:noProof/>
        </w:rPr>
        <w:fldChar w:fldCharType="begin"/>
      </w:r>
      <w:r>
        <w:rPr>
          <w:noProof/>
        </w:rPr>
        <w:instrText xml:space="preserve"> PAGEREF _Toc252110020 \h </w:instrText>
      </w:r>
      <w:r>
        <w:rPr>
          <w:noProof/>
        </w:rPr>
      </w:r>
      <w:r>
        <w:rPr>
          <w:noProof/>
        </w:rPr>
        <w:fldChar w:fldCharType="separate"/>
      </w:r>
      <w:r>
        <w:rPr>
          <w:noProof/>
        </w:rPr>
        <w:t>72</w:t>
      </w:r>
      <w:r>
        <w:rPr>
          <w:noProof/>
        </w:rPr>
        <w:fldChar w:fldCharType="end"/>
      </w:r>
    </w:p>
    <w:p w14:paraId="70733D0B" w14:textId="77777777" w:rsidR="00CB5AAE" w:rsidRDefault="00CB5AAE">
      <w:pPr>
        <w:pStyle w:val="TOC3"/>
        <w:rPr>
          <w:noProof/>
        </w:rPr>
      </w:pPr>
      <w:r>
        <w:rPr>
          <w:noProof/>
        </w:rPr>
        <w:t>Micromechanical properties</w:t>
      </w:r>
      <w:r>
        <w:rPr>
          <w:noProof/>
        </w:rPr>
        <w:tab/>
      </w:r>
      <w:r>
        <w:rPr>
          <w:noProof/>
        </w:rPr>
        <w:fldChar w:fldCharType="begin"/>
      </w:r>
      <w:r>
        <w:rPr>
          <w:noProof/>
        </w:rPr>
        <w:instrText xml:space="preserve"> PAGEREF _Toc252110021 \h </w:instrText>
      </w:r>
      <w:r>
        <w:rPr>
          <w:noProof/>
        </w:rPr>
      </w:r>
      <w:r>
        <w:rPr>
          <w:noProof/>
        </w:rPr>
        <w:fldChar w:fldCharType="separate"/>
      </w:r>
      <w:r>
        <w:rPr>
          <w:noProof/>
        </w:rPr>
        <w:t>73</w:t>
      </w:r>
      <w:r>
        <w:rPr>
          <w:noProof/>
        </w:rPr>
        <w:fldChar w:fldCharType="end"/>
      </w:r>
    </w:p>
    <w:p w14:paraId="0FF9B99F" w14:textId="77777777" w:rsidR="00CB5AAE" w:rsidRDefault="00CB5AAE">
      <w:pPr>
        <w:pStyle w:val="TOC3"/>
        <w:rPr>
          <w:noProof/>
        </w:rPr>
      </w:pPr>
      <w:r>
        <w:rPr>
          <w:noProof/>
        </w:rPr>
        <w:t>Fatty acids</w:t>
      </w:r>
      <w:r>
        <w:rPr>
          <w:noProof/>
        </w:rPr>
        <w:tab/>
      </w:r>
      <w:r>
        <w:rPr>
          <w:noProof/>
        </w:rPr>
        <w:fldChar w:fldCharType="begin"/>
      </w:r>
      <w:r>
        <w:rPr>
          <w:noProof/>
        </w:rPr>
        <w:instrText xml:space="preserve"> PAGEREF _Toc252110022 \h </w:instrText>
      </w:r>
      <w:r>
        <w:rPr>
          <w:noProof/>
        </w:rPr>
      </w:r>
      <w:r>
        <w:rPr>
          <w:noProof/>
        </w:rPr>
        <w:fldChar w:fldCharType="separate"/>
      </w:r>
      <w:r>
        <w:rPr>
          <w:noProof/>
        </w:rPr>
        <w:t>74</w:t>
      </w:r>
      <w:r>
        <w:rPr>
          <w:noProof/>
        </w:rPr>
        <w:fldChar w:fldCharType="end"/>
      </w:r>
    </w:p>
    <w:p w14:paraId="7A52CE84" w14:textId="77777777" w:rsidR="00CB5AAE" w:rsidRDefault="00CB5AAE">
      <w:pPr>
        <w:pStyle w:val="TOC3"/>
        <w:rPr>
          <w:noProof/>
        </w:rPr>
      </w:pPr>
      <w:r>
        <w:rPr>
          <w:noProof/>
        </w:rPr>
        <w:t>Heat shock response</w:t>
      </w:r>
      <w:r>
        <w:rPr>
          <w:noProof/>
        </w:rPr>
        <w:tab/>
      </w:r>
      <w:r>
        <w:rPr>
          <w:noProof/>
        </w:rPr>
        <w:fldChar w:fldCharType="begin"/>
      </w:r>
      <w:r>
        <w:rPr>
          <w:noProof/>
        </w:rPr>
        <w:instrText xml:space="preserve"> PAGEREF _Toc252110023 \h </w:instrText>
      </w:r>
      <w:r>
        <w:rPr>
          <w:noProof/>
        </w:rPr>
      </w:r>
      <w:r>
        <w:rPr>
          <w:noProof/>
        </w:rPr>
        <w:fldChar w:fldCharType="separate"/>
      </w:r>
      <w:r>
        <w:rPr>
          <w:noProof/>
        </w:rPr>
        <w:t>75</w:t>
      </w:r>
      <w:r>
        <w:rPr>
          <w:noProof/>
        </w:rPr>
        <w:fldChar w:fldCharType="end"/>
      </w:r>
    </w:p>
    <w:p w14:paraId="55C9A247" w14:textId="77777777" w:rsidR="00CB5AAE" w:rsidRDefault="00CB5AAE">
      <w:pPr>
        <w:pStyle w:val="TOC3"/>
        <w:rPr>
          <w:noProof/>
        </w:rPr>
      </w:pPr>
      <w:r>
        <w:rPr>
          <w:noProof/>
        </w:rPr>
        <w:t>Proteomics</w:t>
      </w:r>
      <w:r>
        <w:rPr>
          <w:noProof/>
        </w:rPr>
        <w:tab/>
      </w:r>
      <w:r>
        <w:rPr>
          <w:noProof/>
        </w:rPr>
        <w:fldChar w:fldCharType="begin"/>
      </w:r>
      <w:r>
        <w:rPr>
          <w:noProof/>
        </w:rPr>
        <w:instrText xml:space="preserve"> PAGEREF _Toc252110024 \h </w:instrText>
      </w:r>
      <w:r>
        <w:rPr>
          <w:noProof/>
        </w:rPr>
      </w:r>
      <w:r>
        <w:rPr>
          <w:noProof/>
        </w:rPr>
        <w:fldChar w:fldCharType="separate"/>
      </w:r>
      <w:r>
        <w:rPr>
          <w:noProof/>
        </w:rPr>
        <w:t>76</w:t>
      </w:r>
      <w:r>
        <w:rPr>
          <w:noProof/>
        </w:rPr>
        <w:fldChar w:fldCharType="end"/>
      </w:r>
    </w:p>
    <w:p w14:paraId="33634F3E" w14:textId="77777777" w:rsidR="00CB5AAE" w:rsidRDefault="00CB5AAE">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_Toc252110025 \h </w:instrText>
      </w:r>
      <w:r>
        <w:rPr>
          <w:noProof/>
        </w:rPr>
      </w:r>
      <w:r>
        <w:rPr>
          <w:noProof/>
        </w:rPr>
        <w:fldChar w:fldCharType="separate"/>
      </w:r>
      <w:r>
        <w:rPr>
          <w:noProof/>
        </w:rPr>
        <w:t>80</w:t>
      </w:r>
      <w:r>
        <w:rPr>
          <w:noProof/>
        </w:rPr>
        <w:fldChar w:fldCharType="end"/>
      </w:r>
    </w:p>
    <w:p w14:paraId="03E3C203" w14:textId="77777777" w:rsidR="00CB5AAE" w:rsidRDefault="00CB5AAE">
      <w:pPr>
        <w:pStyle w:val="TOC3"/>
        <w:rPr>
          <w:noProof/>
        </w:rPr>
      </w:pPr>
      <w:r>
        <w:rPr>
          <w:noProof/>
        </w:rPr>
        <w:t>Proteomic response to ocean acidification</w:t>
      </w:r>
      <w:r>
        <w:rPr>
          <w:noProof/>
        </w:rPr>
        <w:tab/>
      </w:r>
      <w:r>
        <w:rPr>
          <w:noProof/>
        </w:rPr>
        <w:fldChar w:fldCharType="begin"/>
      </w:r>
      <w:r>
        <w:rPr>
          <w:noProof/>
        </w:rPr>
        <w:instrText xml:space="preserve"> PAGEREF _Toc252110026 \h </w:instrText>
      </w:r>
      <w:r>
        <w:rPr>
          <w:noProof/>
        </w:rPr>
      </w:r>
      <w:r>
        <w:rPr>
          <w:noProof/>
        </w:rPr>
        <w:fldChar w:fldCharType="separate"/>
      </w:r>
      <w:r>
        <w:rPr>
          <w:noProof/>
        </w:rPr>
        <w:t>83</w:t>
      </w:r>
      <w:r>
        <w:rPr>
          <w:noProof/>
        </w:rPr>
        <w:fldChar w:fldCharType="end"/>
      </w:r>
    </w:p>
    <w:p w14:paraId="5396A150" w14:textId="77777777" w:rsidR="00CB5AAE" w:rsidRDefault="00CB5AAE">
      <w:pPr>
        <w:pStyle w:val="TOC3"/>
        <w:rPr>
          <w:noProof/>
        </w:rPr>
      </w:pPr>
      <w:r>
        <w:rPr>
          <w:noProof/>
        </w:rPr>
        <w:t>The effects of pCO</w:t>
      </w:r>
      <w:r w:rsidRPr="00A86147">
        <w:rPr>
          <w:noProof/>
          <w:vertAlign w:val="subscript"/>
        </w:rPr>
        <w:t>2</w:t>
      </w:r>
      <w:r>
        <w:rPr>
          <w:noProof/>
        </w:rPr>
        <w:t xml:space="preserve"> on the stress response</w:t>
      </w:r>
      <w:r>
        <w:rPr>
          <w:noProof/>
        </w:rPr>
        <w:tab/>
      </w:r>
      <w:r>
        <w:rPr>
          <w:noProof/>
        </w:rPr>
        <w:fldChar w:fldCharType="begin"/>
      </w:r>
      <w:r>
        <w:rPr>
          <w:noProof/>
        </w:rPr>
        <w:instrText xml:space="preserve"> PAGEREF _Toc252110027 \h </w:instrText>
      </w:r>
      <w:r>
        <w:rPr>
          <w:noProof/>
        </w:rPr>
      </w:r>
      <w:r>
        <w:rPr>
          <w:noProof/>
        </w:rPr>
        <w:fldChar w:fldCharType="separate"/>
      </w:r>
      <w:r>
        <w:rPr>
          <w:noProof/>
        </w:rPr>
        <w:t>89</w:t>
      </w:r>
      <w:r>
        <w:rPr>
          <w:noProof/>
        </w:rPr>
        <w:fldChar w:fldCharType="end"/>
      </w:r>
    </w:p>
    <w:p w14:paraId="54B76B0E" w14:textId="77777777" w:rsidR="00CB5AAE" w:rsidRDefault="00CB5AAE">
      <w:pPr>
        <w:pStyle w:val="TOC3"/>
        <w:rPr>
          <w:noProof/>
        </w:rPr>
      </w:pPr>
      <w:r>
        <w:rPr>
          <w:noProof/>
        </w:rPr>
        <w:t>Conclusion</w:t>
      </w:r>
      <w:r>
        <w:rPr>
          <w:noProof/>
        </w:rPr>
        <w:tab/>
      </w:r>
      <w:r>
        <w:rPr>
          <w:noProof/>
        </w:rPr>
        <w:fldChar w:fldCharType="begin"/>
      </w:r>
      <w:r>
        <w:rPr>
          <w:noProof/>
        </w:rPr>
        <w:instrText xml:space="preserve"> PAGEREF _Toc252110028 \h </w:instrText>
      </w:r>
      <w:r>
        <w:rPr>
          <w:noProof/>
        </w:rPr>
      </w:r>
      <w:r>
        <w:rPr>
          <w:noProof/>
        </w:rPr>
        <w:fldChar w:fldCharType="separate"/>
      </w:r>
      <w:r>
        <w:rPr>
          <w:noProof/>
        </w:rPr>
        <w:t>91</w:t>
      </w:r>
      <w:r>
        <w:rPr>
          <w:noProof/>
        </w:rPr>
        <w:fldChar w:fldCharType="end"/>
      </w:r>
    </w:p>
    <w:p w14:paraId="1B92CEA1" w14:textId="77777777" w:rsidR="00CB5AAE" w:rsidRDefault="00CB5AAE">
      <w:pPr>
        <w:pStyle w:val="TOC2"/>
        <w:tabs>
          <w:tab w:val="right" w:leader="dot" w:pos="8630"/>
        </w:tabs>
        <w:rPr>
          <w:noProof/>
        </w:rPr>
      </w:pPr>
      <w:r>
        <w:rPr>
          <w:noProof/>
        </w:rPr>
        <w:t>Supplementary Information</w:t>
      </w:r>
      <w:r>
        <w:rPr>
          <w:noProof/>
        </w:rPr>
        <w:tab/>
      </w:r>
      <w:r>
        <w:rPr>
          <w:noProof/>
        </w:rPr>
        <w:fldChar w:fldCharType="begin"/>
      </w:r>
      <w:r>
        <w:rPr>
          <w:noProof/>
        </w:rPr>
        <w:instrText xml:space="preserve"> PAGEREF _Toc252110029 \h </w:instrText>
      </w:r>
      <w:r>
        <w:rPr>
          <w:noProof/>
        </w:rPr>
      </w:r>
      <w:r>
        <w:rPr>
          <w:noProof/>
        </w:rPr>
        <w:fldChar w:fldCharType="separate"/>
      </w:r>
      <w:r>
        <w:rPr>
          <w:noProof/>
        </w:rPr>
        <w:t>92</w:t>
      </w:r>
      <w:r>
        <w:rPr>
          <w:noProof/>
        </w:rPr>
        <w:fldChar w:fldCharType="end"/>
      </w:r>
    </w:p>
    <w:p w14:paraId="6A0DC875" w14:textId="77777777" w:rsidR="00CB5AAE" w:rsidRDefault="00CB5AAE">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_Toc252110030 \h </w:instrText>
      </w:r>
      <w:r>
        <w:rPr>
          <w:noProof/>
        </w:rPr>
      </w:r>
      <w:r>
        <w:rPr>
          <w:noProof/>
        </w:rPr>
        <w:fldChar w:fldCharType="separate"/>
      </w:r>
      <w:r>
        <w:rPr>
          <w:noProof/>
        </w:rPr>
        <w:t>94</w:t>
      </w:r>
      <w:r>
        <w:rPr>
          <w:noProof/>
        </w:rPr>
        <w:fldChar w:fldCharType="end"/>
      </w:r>
    </w:p>
    <w:p w14:paraId="2DD025C5" w14:textId="77777777" w:rsidR="00CB5AAE" w:rsidRDefault="00CB5AAE">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_Toc252110031 \h </w:instrText>
      </w:r>
      <w:r>
        <w:rPr>
          <w:noProof/>
        </w:rPr>
      </w:r>
      <w:r>
        <w:rPr>
          <w:noProof/>
        </w:rPr>
        <w:fldChar w:fldCharType="separate"/>
      </w:r>
      <w:r>
        <w:rPr>
          <w:noProof/>
        </w:rPr>
        <w:t>94</w:t>
      </w:r>
      <w:r>
        <w:rPr>
          <w:noProof/>
        </w:rPr>
        <w:fldChar w:fldCharType="end"/>
      </w:r>
    </w:p>
    <w:p w14:paraId="2545B44F" w14:textId="77777777" w:rsidR="00CB5AAE" w:rsidRDefault="00CB5AAE">
      <w:pPr>
        <w:pStyle w:val="TOC1"/>
        <w:tabs>
          <w:tab w:val="right" w:leader="dot" w:pos="8630"/>
        </w:tabs>
        <w:rPr>
          <w:noProof/>
        </w:rPr>
      </w:pPr>
      <w:r>
        <w:rPr>
          <w:noProof/>
        </w:rPr>
        <w:t>Synthesis and Conclusion</w:t>
      </w:r>
      <w:r>
        <w:rPr>
          <w:noProof/>
        </w:rPr>
        <w:tab/>
      </w:r>
      <w:r>
        <w:rPr>
          <w:noProof/>
        </w:rPr>
        <w:fldChar w:fldCharType="begin"/>
      </w:r>
      <w:r>
        <w:rPr>
          <w:noProof/>
        </w:rPr>
        <w:instrText xml:space="preserve"> PAGEREF _Toc252110032 \h </w:instrText>
      </w:r>
      <w:r>
        <w:rPr>
          <w:noProof/>
        </w:rPr>
      </w:r>
      <w:r>
        <w:rPr>
          <w:noProof/>
        </w:rPr>
        <w:fldChar w:fldCharType="separate"/>
      </w:r>
      <w:r>
        <w:rPr>
          <w:noProof/>
        </w:rPr>
        <w:t>103</w:t>
      </w:r>
      <w:r>
        <w:rPr>
          <w:noProof/>
        </w:rPr>
        <w:fldChar w:fldCharType="end"/>
      </w:r>
    </w:p>
    <w:p w14:paraId="7E2307F2" w14:textId="77777777" w:rsidR="00CB5AAE" w:rsidRDefault="00CB5AAE">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_Toc252110033 \h </w:instrText>
      </w:r>
      <w:r>
        <w:rPr>
          <w:noProof/>
        </w:rPr>
      </w:r>
      <w:r>
        <w:rPr>
          <w:noProof/>
        </w:rPr>
        <w:fldChar w:fldCharType="separate"/>
      </w:r>
      <w:r>
        <w:rPr>
          <w:noProof/>
        </w:rPr>
        <w:t>105</w:t>
      </w:r>
      <w:r>
        <w:rPr>
          <w:noProof/>
        </w:rPr>
        <w:fldChar w:fldCharType="end"/>
      </w:r>
    </w:p>
    <w:p w14:paraId="20F4D989" w14:textId="77777777" w:rsidR="00CB5AAE" w:rsidRDefault="00CB5AAE">
      <w:pPr>
        <w:pStyle w:val="TOC1"/>
        <w:tabs>
          <w:tab w:val="right" w:leader="dot" w:pos="8630"/>
        </w:tabs>
        <w:rPr>
          <w:noProof/>
        </w:rPr>
      </w:pPr>
      <w:r>
        <w:rPr>
          <w:noProof/>
        </w:rPr>
        <w:t>Appendix A:  Exploration of enzymatic activity of Pacific oyster antioxidant proteins in response to ocean acidification</w:t>
      </w:r>
      <w:r>
        <w:rPr>
          <w:noProof/>
        </w:rPr>
        <w:tab/>
      </w:r>
      <w:r>
        <w:rPr>
          <w:noProof/>
        </w:rPr>
        <w:fldChar w:fldCharType="begin"/>
      </w:r>
      <w:r>
        <w:rPr>
          <w:noProof/>
        </w:rPr>
        <w:instrText xml:space="preserve"> PAGEREF _Toc252110034 \h </w:instrText>
      </w:r>
      <w:r>
        <w:rPr>
          <w:noProof/>
        </w:rPr>
      </w:r>
      <w:r>
        <w:rPr>
          <w:noProof/>
        </w:rPr>
        <w:fldChar w:fldCharType="separate"/>
      </w:r>
      <w:r>
        <w:rPr>
          <w:noProof/>
        </w:rPr>
        <w:t>108</w:t>
      </w:r>
      <w:r>
        <w:rPr>
          <w:noProof/>
        </w:rPr>
        <w:fldChar w:fldCharType="end"/>
      </w:r>
    </w:p>
    <w:p w14:paraId="6C4A11BE" w14:textId="77777777" w:rsidR="00CB5AAE" w:rsidRDefault="00CB5AAE">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_Toc252110035 \h </w:instrText>
      </w:r>
      <w:r>
        <w:rPr>
          <w:noProof/>
        </w:rPr>
      </w:r>
      <w:r>
        <w:rPr>
          <w:noProof/>
        </w:rPr>
        <w:fldChar w:fldCharType="separate"/>
      </w:r>
      <w:r>
        <w:rPr>
          <w:noProof/>
        </w:rPr>
        <w:t>108</w:t>
      </w:r>
      <w:r>
        <w:rPr>
          <w:noProof/>
        </w:rPr>
        <w:fldChar w:fldCharType="end"/>
      </w:r>
    </w:p>
    <w:p w14:paraId="70978FF8" w14:textId="77777777" w:rsidR="00CB5AAE" w:rsidRDefault="00CB5AAE">
      <w:pPr>
        <w:pStyle w:val="TOC2"/>
        <w:tabs>
          <w:tab w:val="right" w:leader="dot" w:pos="8630"/>
        </w:tabs>
        <w:rPr>
          <w:noProof/>
        </w:rPr>
      </w:pPr>
      <w:r>
        <w:rPr>
          <w:noProof/>
        </w:rPr>
        <w:t>Methods</w:t>
      </w:r>
      <w:r>
        <w:rPr>
          <w:noProof/>
        </w:rPr>
        <w:tab/>
      </w:r>
      <w:r>
        <w:rPr>
          <w:noProof/>
        </w:rPr>
        <w:fldChar w:fldCharType="begin"/>
      </w:r>
      <w:r>
        <w:rPr>
          <w:noProof/>
        </w:rPr>
        <w:instrText xml:space="preserve"> PAGEREF _Toc252110036 \h </w:instrText>
      </w:r>
      <w:r>
        <w:rPr>
          <w:noProof/>
        </w:rPr>
      </w:r>
      <w:r>
        <w:rPr>
          <w:noProof/>
        </w:rPr>
        <w:fldChar w:fldCharType="separate"/>
      </w:r>
      <w:r>
        <w:rPr>
          <w:noProof/>
        </w:rPr>
        <w:t>109</w:t>
      </w:r>
      <w:r>
        <w:rPr>
          <w:noProof/>
        </w:rPr>
        <w:fldChar w:fldCharType="end"/>
      </w:r>
    </w:p>
    <w:p w14:paraId="017B174E" w14:textId="77777777" w:rsidR="00CB5AAE" w:rsidRDefault="00CB5AAE">
      <w:pPr>
        <w:pStyle w:val="TOC3"/>
        <w:rPr>
          <w:noProof/>
        </w:rPr>
      </w:pPr>
      <w:r>
        <w:rPr>
          <w:noProof/>
          <w:lang w:eastAsia="en-US"/>
        </w:rPr>
        <w:t>Carbonate Chemistry</w:t>
      </w:r>
      <w:r>
        <w:rPr>
          <w:noProof/>
        </w:rPr>
        <w:tab/>
      </w:r>
      <w:r>
        <w:rPr>
          <w:noProof/>
        </w:rPr>
        <w:fldChar w:fldCharType="begin"/>
      </w:r>
      <w:r>
        <w:rPr>
          <w:noProof/>
        </w:rPr>
        <w:instrText xml:space="preserve"> PAGEREF _Toc252110037 \h </w:instrText>
      </w:r>
      <w:r>
        <w:rPr>
          <w:noProof/>
        </w:rPr>
      </w:r>
      <w:r>
        <w:rPr>
          <w:noProof/>
        </w:rPr>
        <w:fldChar w:fldCharType="separate"/>
      </w:r>
      <w:r>
        <w:rPr>
          <w:noProof/>
        </w:rPr>
        <w:t>109</w:t>
      </w:r>
      <w:r>
        <w:rPr>
          <w:noProof/>
        </w:rPr>
        <w:fldChar w:fldCharType="end"/>
      </w:r>
    </w:p>
    <w:p w14:paraId="6A39C8B3" w14:textId="77777777" w:rsidR="00CB5AAE" w:rsidRDefault="00CB5AAE">
      <w:pPr>
        <w:pStyle w:val="TOC3"/>
        <w:rPr>
          <w:noProof/>
        </w:rPr>
      </w:pPr>
      <w:r>
        <w:rPr>
          <w:noProof/>
          <w:lang w:eastAsia="en-US"/>
        </w:rPr>
        <w:t>Oysters</w:t>
      </w:r>
      <w:r>
        <w:rPr>
          <w:noProof/>
        </w:rPr>
        <w:tab/>
      </w:r>
      <w:r>
        <w:rPr>
          <w:noProof/>
        </w:rPr>
        <w:fldChar w:fldCharType="begin"/>
      </w:r>
      <w:r>
        <w:rPr>
          <w:noProof/>
        </w:rPr>
        <w:instrText xml:space="preserve"> PAGEREF _Toc252110038 \h </w:instrText>
      </w:r>
      <w:r>
        <w:rPr>
          <w:noProof/>
        </w:rPr>
      </w:r>
      <w:r>
        <w:rPr>
          <w:noProof/>
        </w:rPr>
        <w:fldChar w:fldCharType="separate"/>
      </w:r>
      <w:r>
        <w:rPr>
          <w:noProof/>
        </w:rPr>
        <w:t>109</w:t>
      </w:r>
      <w:r>
        <w:rPr>
          <w:noProof/>
        </w:rPr>
        <w:fldChar w:fldCharType="end"/>
      </w:r>
    </w:p>
    <w:p w14:paraId="45D5722A" w14:textId="77777777" w:rsidR="00CB5AAE" w:rsidRDefault="00CB5AAE">
      <w:pPr>
        <w:pStyle w:val="TOC3"/>
        <w:rPr>
          <w:noProof/>
        </w:rPr>
      </w:pPr>
      <w:r>
        <w:rPr>
          <w:noProof/>
          <w:lang w:eastAsia="en-US"/>
        </w:rPr>
        <w:t>Glutathione S-transferase: protein extraction and enzymatic assay</w:t>
      </w:r>
      <w:r>
        <w:rPr>
          <w:noProof/>
        </w:rPr>
        <w:tab/>
      </w:r>
      <w:r>
        <w:rPr>
          <w:noProof/>
        </w:rPr>
        <w:fldChar w:fldCharType="begin"/>
      </w:r>
      <w:r>
        <w:rPr>
          <w:noProof/>
        </w:rPr>
        <w:instrText xml:space="preserve"> PAGEREF _Toc252110039 \h </w:instrText>
      </w:r>
      <w:r>
        <w:rPr>
          <w:noProof/>
        </w:rPr>
      </w:r>
      <w:r>
        <w:rPr>
          <w:noProof/>
        </w:rPr>
        <w:fldChar w:fldCharType="separate"/>
      </w:r>
      <w:r>
        <w:rPr>
          <w:noProof/>
        </w:rPr>
        <w:t>110</w:t>
      </w:r>
      <w:r>
        <w:rPr>
          <w:noProof/>
        </w:rPr>
        <w:fldChar w:fldCharType="end"/>
      </w:r>
    </w:p>
    <w:p w14:paraId="28899338" w14:textId="77777777" w:rsidR="00CB5AAE" w:rsidRDefault="00CB5AAE">
      <w:pPr>
        <w:pStyle w:val="TOC3"/>
        <w:rPr>
          <w:noProof/>
        </w:rPr>
      </w:pPr>
      <w:r>
        <w:rPr>
          <w:noProof/>
          <w:lang w:eastAsia="en-US"/>
        </w:rPr>
        <w:t>Superoxide dismutase: protein extraction and enzymatic assay</w:t>
      </w:r>
      <w:r>
        <w:rPr>
          <w:noProof/>
        </w:rPr>
        <w:tab/>
      </w:r>
      <w:r>
        <w:rPr>
          <w:noProof/>
        </w:rPr>
        <w:fldChar w:fldCharType="begin"/>
      </w:r>
      <w:r>
        <w:rPr>
          <w:noProof/>
        </w:rPr>
        <w:instrText xml:space="preserve"> PAGEREF _Toc252110040 \h </w:instrText>
      </w:r>
      <w:r>
        <w:rPr>
          <w:noProof/>
        </w:rPr>
      </w:r>
      <w:r>
        <w:rPr>
          <w:noProof/>
        </w:rPr>
        <w:fldChar w:fldCharType="separate"/>
      </w:r>
      <w:r>
        <w:rPr>
          <w:noProof/>
        </w:rPr>
        <w:t>110</w:t>
      </w:r>
      <w:r>
        <w:rPr>
          <w:noProof/>
        </w:rPr>
        <w:fldChar w:fldCharType="end"/>
      </w:r>
    </w:p>
    <w:p w14:paraId="40E19CA4" w14:textId="77777777" w:rsidR="00CB5AAE" w:rsidRDefault="00CB5AAE">
      <w:pPr>
        <w:pStyle w:val="TOC3"/>
        <w:rPr>
          <w:noProof/>
        </w:rPr>
      </w:pPr>
      <w:r>
        <w:rPr>
          <w:noProof/>
          <w:lang w:eastAsia="en-US"/>
        </w:rPr>
        <w:t>Protein Concentration</w:t>
      </w:r>
      <w:r>
        <w:rPr>
          <w:noProof/>
        </w:rPr>
        <w:tab/>
      </w:r>
      <w:r>
        <w:rPr>
          <w:noProof/>
        </w:rPr>
        <w:fldChar w:fldCharType="begin"/>
      </w:r>
      <w:r>
        <w:rPr>
          <w:noProof/>
        </w:rPr>
        <w:instrText xml:space="preserve"> PAGEREF _Toc252110041 \h </w:instrText>
      </w:r>
      <w:r>
        <w:rPr>
          <w:noProof/>
        </w:rPr>
      </w:r>
      <w:r>
        <w:rPr>
          <w:noProof/>
        </w:rPr>
        <w:fldChar w:fldCharType="separate"/>
      </w:r>
      <w:r>
        <w:rPr>
          <w:noProof/>
        </w:rPr>
        <w:t>111</w:t>
      </w:r>
      <w:r>
        <w:rPr>
          <w:noProof/>
        </w:rPr>
        <w:fldChar w:fldCharType="end"/>
      </w:r>
    </w:p>
    <w:p w14:paraId="2A431C7E" w14:textId="77777777" w:rsidR="00CB5AAE" w:rsidRDefault="00CB5AAE">
      <w:pPr>
        <w:pStyle w:val="TOC3"/>
        <w:rPr>
          <w:noProof/>
        </w:rPr>
      </w:pPr>
      <w:r>
        <w:rPr>
          <w:noProof/>
          <w:lang w:eastAsia="en-US"/>
        </w:rPr>
        <w:t>Statistical Analysis</w:t>
      </w:r>
      <w:r>
        <w:rPr>
          <w:noProof/>
        </w:rPr>
        <w:tab/>
      </w:r>
      <w:r>
        <w:rPr>
          <w:noProof/>
        </w:rPr>
        <w:fldChar w:fldCharType="begin"/>
      </w:r>
      <w:r>
        <w:rPr>
          <w:noProof/>
        </w:rPr>
        <w:instrText xml:space="preserve"> PAGEREF _Toc252110042 \h </w:instrText>
      </w:r>
      <w:r>
        <w:rPr>
          <w:noProof/>
        </w:rPr>
      </w:r>
      <w:r>
        <w:rPr>
          <w:noProof/>
        </w:rPr>
        <w:fldChar w:fldCharType="separate"/>
      </w:r>
      <w:r>
        <w:rPr>
          <w:noProof/>
        </w:rPr>
        <w:t>111</w:t>
      </w:r>
      <w:r>
        <w:rPr>
          <w:noProof/>
        </w:rPr>
        <w:fldChar w:fldCharType="end"/>
      </w:r>
    </w:p>
    <w:p w14:paraId="6BA8CA3D" w14:textId="77777777" w:rsidR="00CB5AAE" w:rsidRDefault="00CB5AAE">
      <w:pPr>
        <w:pStyle w:val="TOC2"/>
        <w:tabs>
          <w:tab w:val="right" w:leader="dot" w:pos="8630"/>
        </w:tabs>
        <w:rPr>
          <w:noProof/>
        </w:rPr>
      </w:pPr>
      <w:r>
        <w:rPr>
          <w:noProof/>
        </w:rPr>
        <w:t>Results</w:t>
      </w:r>
      <w:r>
        <w:rPr>
          <w:noProof/>
        </w:rPr>
        <w:tab/>
      </w:r>
      <w:r>
        <w:rPr>
          <w:noProof/>
        </w:rPr>
        <w:fldChar w:fldCharType="begin"/>
      </w:r>
      <w:r>
        <w:rPr>
          <w:noProof/>
        </w:rPr>
        <w:instrText xml:space="preserve"> PAGEREF _Toc252110043 \h </w:instrText>
      </w:r>
      <w:r>
        <w:rPr>
          <w:noProof/>
        </w:rPr>
      </w:r>
      <w:r>
        <w:rPr>
          <w:noProof/>
        </w:rPr>
        <w:fldChar w:fldCharType="separate"/>
      </w:r>
      <w:r>
        <w:rPr>
          <w:noProof/>
        </w:rPr>
        <w:t>112</w:t>
      </w:r>
      <w:r>
        <w:rPr>
          <w:noProof/>
        </w:rPr>
        <w:fldChar w:fldCharType="end"/>
      </w:r>
    </w:p>
    <w:p w14:paraId="45637667" w14:textId="77777777" w:rsidR="00CB5AAE" w:rsidRDefault="00CB5AAE">
      <w:pPr>
        <w:pStyle w:val="TOC3"/>
        <w:rPr>
          <w:noProof/>
        </w:rPr>
      </w:pPr>
      <w:r>
        <w:rPr>
          <w:noProof/>
          <w:lang w:eastAsia="en-US"/>
        </w:rPr>
        <w:t>Glutathione S-transferase</w:t>
      </w:r>
      <w:r>
        <w:rPr>
          <w:noProof/>
        </w:rPr>
        <w:tab/>
      </w:r>
      <w:r>
        <w:rPr>
          <w:noProof/>
        </w:rPr>
        <w:fldChar w:fldCharType="begin"/>
      </w:r>
      <w:r>
        <w:rPr>
          <w:noProof/>
        </w:rPr>
        <w:instrText xml:space="preserve"> PAGEREF _Toc252110044 \h </w:instrText>
      </w:r>
      <w:r>
        <w:rPr>
          <w:noProof/>
        </w:rPr>
      </w:r>
      <w:r>
        <w:rPr>
          <w:noProof/>
        </w:rPr>
        <w:fldChar w:fldCharType="separate"/>
      </w:r>
      <w:r>
        <w:rPr>
          <w:noProof/>
        </w:rPr>
        <w:t>112</w:t>
      </w:r>
      <w:r>
        <w:rPr>
          <w:noProof/>
        </w:rPr>
        <w:fldChar w:fldCharType="end"/>
      </w:r>
    </w:p>
    <w:p w14:paraId="13C22B28" w14:textId="77777777" w:rsidR="00CB5AAE" w:rsidRDefault="00CB5AAE">
      <w:pPr>
        <w:pStyle w:val="TOC3"/>
        <w:rPr>
          <w:noProof/>
        </w:rPr>
      </w:pPr>
      <w:r>
        <w:rPr>
          <w:noProof/>
          <w:lang w:eastAsia="en-US"/>
        </w:rPr>
        <w:t>Superoxide dismutase</w:t>
      </w:r>
      <w:r>
        <w:rPr>
          <w:noProof/>
        </w:rPr>
        <w:tab/>
      </w:r>
      <w:r>
        <w:rPr>
          <w:noProof/>
        </w:rPr>
        <w:fldChar w:fldCharType="begin"/>
      </w:r>
      <w:r>
        <w:rPr>
          <w:noProof/>
        </w:rPr>
        <w:instrText xml:space="preserve"> PAGEREF _Toc252110045 \h </w:instrText>
      </w:r>
      <w:r>
        <w:rPr>
          <w:noProof/>
        </w:rPr>
      </w:r>
      <w:r>
        <w:rPr>
          <w:noProof/>
        </w:rPr>
        <w:fldChar w:fldCharType="separate"/>
      </w:r>
      <w:r>
        <w:rPr>
          <w:noProof/>
        </w:rPr>
        <w:t>113</w:t>
      </w:r>
      <w:r>
        <w:rPr>
          <w:noProof/>
        </w:rPr>
        <w:fldChar w:fldCharType="end"/>
      </w:r>
    </w:p>
    <w:p w14:paraId="1AFE59ED" w14:textId="77777777" w:rsidR="00CB5AAE" w:rsidRDefault="00CB5AAE">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_Toc252110046 \h </w:instrText>
      </w:r>
      <w:r>
        <w:rPr>
          <w:noProof/>
        </w:rPr>
      </w:r>
      <w:r>
        <w:rPr>
          <w:noProof/>
        </w:rPr>
        <w:fldChar w:fldCharType="separate"/>
      </w:r>
      <w:r>
        <w:rPr>
          <w:noProof/>
        </w:rPr>
        <w:t>114</w:t>
      </w:r>
      <w:r>
        <w:rPr>
          <w:noProof/>
        </w:rPr>
        <w:fldChar w:fldCharType="end"/>
      </w:r>
    </w:p>
    <w:p w14:paraId="2ACC9C03" w14:textId="77777777" w:rsidR="00CB5AAE" w:rsidRDefault="00CB5AAE">
      <w:pPr>
        <w:pStyle w:val="TOC2"/>
        <w:tabs>
          <w:tab w:val="right" w:leader="dot" w:pos="8630"/>
        </w:tabs>
        <w:rPr>
          <w:noProof/>
        </w:rPr>
      </w:pPr>
      <w:r>
        <w:rPr>
          <w:noProof/>
          <w:lang w:eastAsia="en-US"/>
        </w:rPr>
        <w:t>Supplementary Information</w:t>
      </w:r>
      <w:r>
        <w:rPr>
          <w:noProof/>
        </w:rPr>
        <w:tab/>
      </w:r>
      <w:r>
        <w:rPr>
          <w:noProof/>
        </w:rPr>
        <w:fldChar w:fldCharType="begin"/>
      </w:r>
      <w:r>
        <w:rPr>
          <w:noProof/>
        </w:rPr>
        <w:instrText xml:space="preserve"> PAGEREF _Toc252110047 \h </w:instrText>
      </w:r>
      <w:r>
        <w:rPr>
          <w:noProof/>
        </w:rPr>
      </w:r>
      <w:r>
        <w:rPr>
          <w:noProof/>
        </w:rPr>
        <w:fldChar w:fldCharType="separate"/>
      </w:r>
      <w:r>
        <w:rPr>
          <w:noProof/>
        </w:rPr>
        <w:t>115</w:t>
      </w:r>
      <w:r>
        <w:rPr>
          <w:noProof/>
        </w:rPr>
        <w:fldChar w:fldCharType="end"/>
      </w:r>
    </w:p>
    <w:p w14:paraId="0689DA70" w14:textId="77777777" w:rsidR="00CB5AAE" w:rsidRDefault="00CB5AAE">
      <w:pPr>
        <w:pStyle w:val="TOC2"/>
        <w:tabs>
          <w:tab w:val="right" w:leader="dot" w:pos="8630"/>
        </w:tabs>
        <w:rPr>
          <w:noProof/>
        </w:rPr>
      </w:pPr>
      <w:r>
        <w:rPr>
          <w:noProof/>
          <w:lang w:eastAsia="en-US"/>
        </w:rPr>
        <w:t>Works Cited</w:t>
      </w:r>
      <w:r>
        <w:rPr>
          <w:noProof/>
        </w:rPr>
        <w:tab/>
      </w:r>
      <w:r>
        <w:rPr>
          <w:noProof/>
        </w:rPr>
        <w:fldChar w:fldCharType="begin"/>
      </w:r>
      <w:r>
        <w:rPr>
          <w:noProof/>
        </w:rPr>
        <w:instrText xml:space="preserve"> PAGEREF _Toc252110048 \h </w:instrText>
      </w:r>
      <w:r>
        <w:rPr>
          <w:noProof/>
        </w:rPr>
      </w:r>
      <w:r>
        <w:rPr>
          <w:noProof/>
        </w:rPr>
        <w:fldChar w:fldCharType="separate"/>
      </w:r>
      <w:r>
        <w:rPr>
          <w:noProof/>
        </w:rPr>
        <w:t>116</w:t>
      </w:r>
      <w:r>
        <w:rPr>
          <w:noProof/>
        </w:rPr>
        <w:fldChar w:fldCharType="end"/>
      </w:r>
    </w:p>
    <w:p w14:paraId="718DA8C4" w14:textId="77777777" w:rsidR="00CB5AAE" w:rsidRDefault="00CB5AAE">
      <w:pPr>
        <w:pStyle w:val="TOC1"/>
        <w:tabs>
          <w:tab w:val="right" w:leader="dot" w:pos="8630"/>
        </w:tabs>
        <w:rPr>
          <w:noProof/>
        </w:rPr>
      </w:pPr>
      <w:r>
        <w:rPr>
          <w:noProof/>
        </w:rPr>
        <w:t xml:space="preserve">Appendix B: Histological Investigations into the Effects of </w:t>
      </w:r>
      <w:r w:rsidRPr="00A86147">
        <w:rPr>
          <w:i/>
          <w:noProof/>
        </w:rPr>
        <w:t>p</w:t>
      </w:r>
      <w:r>
        <w:rPr>
          <w:noProof/>
        </w:rPr>
        <w:t>CO</w:t>
      </w:r>
      <w:r w:rsidRPr="00A86147">
        <w:rPr>
          <w:noProof/>
          <w:vertAlign w:val="subscript"/>
        </w:rPr>
        <w:t>2</w:t>
      </w:r>
      <w:r>
        <w:rPr>
          <w:noProof/>
        </w:rPr>
        <w:t xml:space="preserve"> and a second stressor in Pacific Oysters</w:t>
      </w:r>
      <w:r>
        <w:rPr>
          <w:noProof/>
        </w:rPr>
        <w:tab/>
      </w:r>
      <w:r>
        <w:rPr>
          <w:noProof/>
        </w:rPr>
        <w:fldChar w:fldCharType="begin"/>
      </w:r>
      <w:r>
        <w:rPr>
          <w:noProof/>
        </w:rPr>
        <w:instrText xml:space="preserve"> PAGEREF _Toc252110049 \h </w:instrText>
      </w:r>
      <w:r>
        <w:rPr>
          <w:noProof/>
        </w:rPr>
      </w:r>
      <w:r>
        <w:rPr>
          <w:noProof/>
        </w:rPr>
        <w:fldChar w:fldCharType="separate"/>
      </w:r>
      <w:r>
        <w:rPr>
          <w:noProof/>
        </w:rPr>
        <w:t>119</w:t>
      </w:r>
      <w:r>
        <w:rPr>
          <w:noProof/>
        </w:rPr>
        <w:fldChar w:fldCharType="end"/>
      </w:r>
    </w:p>
    <w:p w14:paraId="62905C3D" w14:textId="77777777" w:rsidR="00CB5AAE" w:rsidRDefault="00CB5AAE">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_Toc252110050 \h </w:instrText>
      </w:r>
      <w:r>
        <w:rPr>
          <w:noProof/>
        </w:rPr>
      </w:r>
      <w:r>
        <w:rPr>
          <w:noProof/>
        </w:rPr>
        <w:fldChar w:fldCharType="separate"/>
      </w:r>
      <w:r>
        <w:rPr>
          <w:noProof/>
        </w:rPr>
        <w:t>119</w:t>
      </w:r>
      <w:r>
        <w:rPr>
          <w:noProof/>
        </w:rPr>
        <w:fldChar w:fldCharType="end"/>
      </w:r>
    </w:p>
    <w:p w14:paraId="572F85DF" w14:textId="77777777" w:rsidR="00CB5AAE" w:rsidRDefault="00CB5AAE">
      <w:pPr>
        <w:pStyle w:val="TOC2"/>
        <w:tabs>
          <w:tab w:val="right" w:leader="dot" w:pos="8630"/>
        </w:tabs>
        <w:rPr>
          <w:noProof/>
        </w:rPr>
      </w:pPr>
      <w:r>
        <w:rPr>
          <w:noProof/>
        </w:rPr>
        <w:t>Materials and Methods</w:t>
      </w:r>
      <w:r>
        <w:rPr>
          <w:noProof/>
        </w:rPr>
        <w:tab/>
      </w:r>
      <w:r>
        <w:rPr>
          <w:noProof/>
        </w:rPr>
        <w:fldChar w:fldCharType="begin"/>
      </w:r>
      <w:r>
        <w:rPr>
          <w:noProof/>
        </w:rPr>
        <w:instrText xml:space="preserve"> PAGEREF _Toc252110051 \h </w:instrText>
      </w:r>
      <w:r>
        <w:rPr>
          <w:noProof/>
        </w:rPr>
      </w:r>
      <w:r>
        <w:rPr>
          <w:noProof/>
        </w:rPr>
        <w:fldChar w:fldCharType="separate"/>
      </w:r>
      <w:r>
        <w:rPr>
          <w:noProof/>
        </w:rPr>
        <w:t>120</w:t>
      </w:r>
      <w:r>
        <w:rPr>
          <w:noProof/>
        </w:rPr>
        <w:fldChar w:fldCharType="end"/>
      </w:r>
    </w:p>
    <w:p w14:paraId="552FA390" w14:textId="77777777" w:rsidR="00CB5AAE" w:rsidRDefault="00CB5AAE">
      <w:pPr>
        <w:pStyle w:val="TOC2"/>
        <w:tabs>
          <w:tab w:val="right" w:leader="dot" w:pos="8630"/>
        </w:tabs>
        <w:rPr>
          <w:noProof/>
        </w:rPr>
      </w:pPr>
      <w:r>
        <w:rPr>
          <w:noProof/>
        </w:rPr>
        <w:t>Results</w:t>
      </w:r>
      <w:r>
        <w:rPr>
          <w:noProof/>
        </w:rPr>
        <w:tab/>
      </w:r>
      <w:r>
        <w:rPr>
          <w:noProof/>
        </w:rPr>
        <w:fldChar w:fldCharType="begin"/>
      </w:r>
      <w:r>
        <w:rPr>
          <w:noProof/>
        </w:rPr>
        <w:instrText xml:space="preserve"> PAGEREF _Toc252110052 \h </w:instrText>
      </w:r>
      <w:r>
        <w:rPr>
          <w:noProof/>
        </w:rPr>
      </w:r>
      <w:r>
        <w:rPr>
          <w:noProof/>
        </w:rPr>
        <w:fldChar w:fldCharType="separate"/>
      </w:r>
      <w:r>
        <w:rPr>
          <w:noProof/>
        </w:rPr>
        <w:t>121</w:t>
      </w:r>
      <w:r>
        <w:rPr>
          <w:noProof/>
        </w:rPr>
        <w:fldChar w:fldCharType="end"/>
      </w:r>
    </w:p>
    <w:p w14:paraId="1FA2A634" w14:textId="77777777" w:rsidR="00CB5AAE" w:rsidRDefault="00CB5AAE">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_Toc252110053 \h </w:instrText>
      </w:r>
      <w:r>
        <w:rPr>
          <w:noProof/>
        </w:rPr>
      </w:r>
      <w:r>
        <w:rPr>
          <w:noProof/>
        </w:rPr>
        <w:fldChar w:fldCharType="separate"/>
      </w:r>
      <w:r>
        <w:rPr>
          <w:noProof/>
        </w:rPr>
        <w:t>122</w:t>
      </w:r>
      <w:r>
        <w:rPr>
          <w:noProof/>
        </w:rPr>
        <w:fldChar w:fldCharType="end"/>
      </w:r>
    </w:p>
    <w:p w14:paraId="3DCED908" w14:textId="77777777" w:rsidR="00CB5AAE" w:rsidRDefault="00CB5AAE">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_Toc252110054 \h </w:instrText>
      </w:r>
      <w:r>
        <w:rPr>
          <w:noProof/>
        </w:rPr>
      </w:r>
      <w:r>
        <w:rPr>
          <w:noProof/>
        </w:rPr>
        <w:fldChar w:fldCharType="separate"/>
      </w:r>
      <w:r>
        <w:rPr>
          <w:noProof/>
        </w:rPr>
        <w:t>123</w:t>
      </w:r>
      <w:r>
        <w:rPr>
          <w:noProof/>
        </w:rPr>
        <w:fldChar w:fldCharType="end"/>
      </w:r>
    </w:p>
    <w:p w14:paraId="4368CDF7" w14:textId="77777777" w:rsidR="00CB5AAE" w:rsidRDefault="00CB5AAE">
      <w:pPr>
        <w:pStyle w:val="TOC1"/>
        <w:tabs>
          <w:tab w:val="right" w:leader="dot" w:pos="8630"/>
        </w:tabs>
        <w:rPr>
          <w:noProof/>
        </w:rPr>
      </w:pPr>
      <w:r>
        <w:rPr>
          <w:noProof/>
        </w:rPr>
        <w:t xml:space="preserve">Appendix C: List of Samples from 1 Week and 1 Month Elevated </w:t>
      </w:r>
      <w:r w:rsidRPr="00A86147">
        <w:rPr>
          <w:i/>
          <w:noProof/>
        </w:rPr>
        <w:t>p</w:t>
      </w:r>
      <w:r>
        <w:rPr>
          <w:noProof/>
        </w:rPr>
        <w:t>CO</w:t>
      </w:r>
      <w:r w:rsidRPr="00A86147">
        <w:rPr>
          <w:noProof/>
          <w:vertAlign w:val="subscript"/>
        </w:rPr>
        <w:t>2</w:t>
      </w:r>
      <w:r>
        <w:rPr>
          <w:noProof/>
        </w:rPr>
        <w:t xml:space="preserve"> Exposures</w:t>
      </w:r>
      <w:r>
        <w:rPr>
          <w:noProof/>
        </w:rPr>
        <w:tab/>
      </w:r>
      <w:r>
        <w:rPr>
          <w:noProof/>
        </w:rPr>
        <w:fldChar w:fldCharType="begin"/>
      </w:r>
      <w:r>
        <w:rPr>
          <w:noProof/>
        </w:rPr>
        <w:instrText xml:space="preserve"> PAGEREF _Toc252110055 \h </w:instrText>
      </w:r>
      <w:r>
        <w:rPr>
          <w:noProof/>
        </w:rPr>
      </w:r>
      <w:r>
        <w:rPr>
          <w:noProof/>
        </w:rPr>
        <w:fldChar w:fldCharType="separate"/>
      </w:r>
      <w:r>
        <w:rPr>
          <w:noProof/>
        </w:rPr>
        <w:t>125</w:t>
      </w:r>
      <w:r>
        <w:rPr>
          <w:noProof/>
        </w:rPr>
        <w:fldChar w:fldCharType="end"/>
      </w:r>
    </w:p>
    <w:p w14:paraId="45D2BE3B" w14:textId="06CAAAEF" w:rsidR="00DF70F0" w:rsidRDefault="00CB5AAE">
      <w:r>
        <w:fldChar w:fldCharType="end"/>
      </w:r>
    </w:p>
    <w:p w14:paraId="40D8BA45" w14:textId="77777777" w:rsidR="00C02D9B" w:rsidRDefault="00C02D9B"/>
    <w:p w14:paraId="556EC4ED" w14:textId="77777777" w:rsidR="00C02D9B" w:rsidRDefault="00C02D9B" w:rsidP="00C02D9B">
      <w:pPr>
        <w:pStyle w:val="Heading1"/>
      </w:pPr>
      <w:bookmarkStart w:id="2" w:name="_Toc252109967"/>
      <w:r>
        <w:t>List of Figures</w:t>
      </w:r>
      <w:bookmarkEnd w:id="2"/>
    </w:p>
    <w:p w14:paraId="674DE0FA" w14:textId="77777777" w:rsidR="005643FD" w:rsidRPr="005643FD" w:rsidRDefault="005643FD" w:rsidP="005643FD"/>
    <w:p w14:paraId="68FC26A7" w14:textId="46E1D2D2" w:rsidR="00ED7FBC" w:rsidRDefault="00ED7FBC" w:rsidP="00ED7FBC">
      <w:r>
        <w:t>I.1. Representative photographs of D-hinge larval shells under polarized light</w:t>
      </w:r>
      <w:r w:rsidR="001C03BF">
        <w:t>..........27</w:t>
      </w:r>
    </w:p>
    <w:p w14:paraId="3999096A" w14:textId="77777777" w:rsidR="005643FD" w:rsidRDefault="005643FD" w:rsidP="00ED7FBC"/>
    <w:p w14:paraId="2C63CFA0" w14:textId="599672F5" w:rsidR="00ED7FBC" w:rsidRDefault="00ED7FBC" w:rsidP="00ED7FBC">
      <w:r>
        <w:t xml:space="preserve">I.2. </w:t>
      </w:r>
      <w:proofErr w:type="gramStart"/>
      <w:r>
        <w:t>pH</w:t>
      </w:r>
      <w:proofErr w:type="gramEnd"/>
      <w:r>
        <w:t xml:space="preserve"> profiles as measured by DuraFET probes for the three </w:t>
      </w:r>
      <w:r w:rsidRPr="00ED7FBC">
        <w:rPr>
          <w:i/>
        </w:rPr>
        <w:t>p</w:t>
      </w:r>
      <w:r>
        <w:t>CO</w:t>
      </w:r>
      <w:r w:rsidRPr="00ED7FBC">
        <w:rPr>
          <w:vertAlign w:val="subscript"/>
        </w:rPr>
        <w:t>2</w:t>
      </w:r>
      <w:r>
        <w:t xml:space="preserve"> treatments</w:t>
      </w:r>
      <w:r w:rsidR="001C03BF">
        <w:t>........30</w:t>
      </w:r>
    </w:p>
    <w:p w14:paraId="3F0AFF2D" w14:textId="77777777" w:rsidR="005643FD" w:rsidRDefault="005643FD" w:rsidP="00ED7FBC"/>
    <w:p w14:paraId="335DADC3" w14:textId="52A9562B" w:rsidR="00ED7FBC" w:rsidRDefault="00ED7FBC" w:rsidP="00ED7FBC">
      <w:r>
        <w:t xml:space="preserve">I.3. Proportion of larvae with calcified material at three different </w:t>
      </w:r>
      <w:r w:rsidRPr="00ED7FBC">
        <w:rPr>
          <w:i/>
        </w:rPr>
        <w:t>p</w:t>
      </w:r>
      <w:r>
        <w:t>CO</w:t>
      </w:r>
      <w:r w:rsidRPr="00ED7FBC">
        <w:rPr>
          <w:vertAlign w:val="subscript"/>
        </w:rPr>
        <w:t>2</w:t>
      </w:r>
      <w:r>
        <w:t xml:space="preserve"> on days 1 and 3 post-fertilization</w:t>
      </w:r>
      <w:r w:rsidR="001C03BF">
        <w:t>...................................................................................................................................31</w:t>
      </w:r>
    </w:p>
    <w:p w14:paraId="23EC28C2" w14:textId="77777777" w:rsidR="005643FD" w:rsidRDefault="005643FD" w:rsidP="00ED7FBC"/>
    <w:p w14:paraId="48B78001" w14:textId="66672680" w:rsidR="00ED7FBC" w:rsidRDefault="00ED7FBC" w:rsidP="00ED7FBC">
      <w:r>
        <w:t xml:space="preserve">I.4. Hinge length of larvae at three different </w:t>
      </w:r>
      <w:r w:rsidRPr="00ED7FBC">
        <w:rPr>
          <w:i/>
        </w:rPr>
        <w:t>p</w:t>
      </w:r>
      <w:r>
        <w:t>CO</w:t>
      </w:r>
      <w:r w:rsidRPr="00ED7FBC">
        <w:rPr>
          <w:vertAlign w:val="subscript"/>
        </w:rPr>
        <w:t>2</w:t>
      </w:r>
      <w:r>
        <w:t xml:space="preserve"> on days 1 and 3 post-fertilization</w:t>
      </w:r>
      <w:r w:rsidR="001C03BF">
        <w:t>.................................................................................................................................................32</w:t>
      </w:r>
    </w:p>
    <w:p w14:paraId="35E451ED" w14:textId="77777777" w:rsidR="005643FD" w:rsidRDefault="005643FD" w:rsidP="00ED7FBC"/>
    <w:p w14:paraId="7C28C221" w14:textId="20284B92" w:rsidR="00ED7FBC" w:rsidRDefault="00ED7FBC" w:rsidP="00ED7FBC">
      <w:r>
        <w:t xml:space="preserve">I.5. Shell height of larvae at three different </w:t>
      </w:r>
      <w:r w:rsidRPr="00ED7FBC">
        <w:rPr>
          <w:i/>
        </w:rPr>
        <w:t>p</w:t>
      </w:r>
      <w:r>
        <w:t>CO</w:t>
      </w:r>
      <w:r w:rsidRPr="00ED7FBC">
        <w:rPr>
          <w:vertAlign w:val="subscript"/>
        </w:rPr>
        <w:t>2</w:t>
      </w:r>
      <w:r>
        <w:t xml:space="preserve"> on days 1 and 3 post-fertilization</w:t>
      </w:r>
      <w:r w:rsidR="001C03BF">
        <w:t>.................................................................................................................................................33</w:t>
      </w:r>
    </w:p>
    <w:p w14:paraId="7542D1A7" w14:textId="77777777" w:rsidR="005643FD" w:rsidRDefault="005643FD" w:rsidP="00ED7FBC"/>
    <w:p w14:paraId="624216AA" w14:textId="101F98CC" w:rsidR="00ED7FBC" w:rsidRDefault="00ED7FBC" w:rsidP="00ED7FBC">
      <w:r>
        <w:t xml:space="preserve">I.6. Larval shell height plotted against hinge length with linear regression lines to demonstrate growth trajectories across different </w:t>
      </w:r>
      <w:r w:rsidRPr="00ED7FBC">
        <w:rPr>
          <w:i/>
        </w:rPr>
        <w:t>p</w:t>
      </w:r>
      <w:r>
        <w:t>CO</w:t>
      </w:r>
      <w:r w:rsidRPr="00ED7FBC">
        <w:rPr>
          <w:vertAlign w:val="subscript"/>
        </w:rPr>
        <w:t>2</w:t>
      </w:r>
      <w:r>
        <w:t xml:space="preserve"> treatments</w:t>
      </w:r>
      <w:r w:rsidR="001C03BF">
        <w:t>.................................34</w:t>
      </w:r>
    </w:p>
    <w:p w14:paraId="1F71FC1D" w14:textId="77777777" w:rsidR="005643FD" w:rsidRDefault="005643FD" w:rsidP="00ED7FBC"/>
    <w:p w14:paraId="0468F667" w14:textId="498FFBA1" w:rsidR="00ED7FBC" w:rsidRDefault="00ED7FBC" w:rsidP="00ED7FBC">
      <w:r>
        <w:t>II.1. Protein spectral counts for three technical replicates</w:t>
      </w:r>
      <w:r w:rsidR="001C03BF">
        <w:t>....................................................51</w:t>
      </w:r>
    </w:p>
    <w:p w14:paraId="72E1B588" w14:textId="77777777" w:rsidR="005643FD" w:rsidRDefault="005643FD" w:rsidP="00ED7FBC"/>
    <w:p w14:paraId="49C17A86" w14:textId="4A103564" w:rsidR="00ED7FBC" w:rsidRDefault="00ED7FBC" w:rsidP="00ED7FBC">
      <w:r>
        <w:t>II.2. Venn diagram showing overlap in proteins identified across four oysters</w:t>
      </w:r>
      <w:r w:rsidR="001C03BF">
        <w:t>..........52</w:t>
      </w:r>
    </w:p>
    <w:p w14:paraId="57FE09CE" w14:textId="77777777" w:rsidR="005643FD" w:rsidRDefault="005643FD" w:rsidP="00ED7FBC"/>
    <w:p w14:paraId="76DA3DF5" w14:textId="40164F8D" w:rsidR="00ED7FBC" w:rsidRDefault="00ED7FBC" w:rsidP="00ED7FBC">
      <w:r>
        <w:t>II.3. Pie chart representing the biological processes identified in sequenced proteins</w:t>
      </w:r>
      <w:r w:rsidR="001C03BF">
        <w:t>........................................................................................................................................................53</w:t>
      </w:r>
    </w:p>
    <w:p w14:paraId="47CB1727" w14:textId="77777777" w:rsidR="005643FD" w:rsidRDefault="005643FD" w:rsidP="00ED7FBC"/>
    <w:p w14:paraId="0145FA3F" w14:textId="314E70B8" w:rsidR="00ED7FBC" w:rsidRDefault="00ED7FBC" w:rsidP="00ED7FBC">
      <w:r>
        <w:t>II.4. Curve of unique protein identification based on different numbers of peptides sequenced</w:t>
      </w:r>
      <w:r w:rsidR="001C03BF">
        <w:t>.....................................................................................................................</w:t>
      </w:r>
      <w:r w:rsidR="00E833DC">
        <w:t>..............................54</w:t>
      </w:r>
    </w:p>
    <w:p w14:paraId="5543FB8C" w14:textId="77777777" w:rsidR="005643FD" w:rsidRDefault="005643FD" w:rsidP="00ED7FBC"/>
    <w:p w14:paraId="682CC00C" w14:textId="5AD1CD0D" w:rsidR="00ED7FBC" w:rsidRPr="001C03BF" w:rsidRDefault="00ED7FBC" w:rsidP="00ED7FBC">
      <w:r>
        <w:t xml:space="preserve">III.1. Microhardness and fracture toughness of oyster shells at three different </w:t>
      </w:r>
      <w:r w:rsidRPr="001C03BF">
        <w:rPr>
          <w:i/>
        </w:rPr>
        <w:t>p</w:t>
      </w:r>
      <w:r w:rsidRPr="001C03BF">
        <w:t>CO</w:t>
      </w:r>
      <w:r w:rsidRPr="001C03BF">
        <w:rPr>
          <w:vertAlign w:val="subscript"/>
        </w:rPr>
        <w:t>2</w:t>
      </w:r>
      <w:r w:rsidR="001C03BF">
        <w:t>...............................................................................................................................................................</w:t>
      </w:r>
      <w:r w:rsidR="001C03BF" w:rsidRPr="001C03BF">
        <w:t>73</w:t>
      </w:r>
    </w:p>
    <w:p w14:paraId="2C161588" w14:textId="77777777" w:rsidR="005643FD" w:rsidRDefault="005643FD" w:rsidP="00ED7FBC"/>
    <w:p w14:paraId="65918DCC" w14:textId="4AF3F36B" w:rsidR="00ED7FBC" w:rsidRPr="001C03BF" w:rsidRDefault="00ED7FBC" w:rsidP="00ED7FBC">
      <w:r>
        <w:t xml:space="preserve">III.2. Non-metric multidimensional scaling plot of fatty acid profiles for oysters at three different </w:t>
      </w:r>
      <w:r w:rsidRPr="00ED7FBC">
        <w:rPr>
          <w:i/>
        </w:rPr>
        <w:t>p</w:t>
      </w:r>
      <w:r>
        <w:t>CO</w:t>
      </w:r>
      <w:r w:rsidRPr="00ED7FBC">
        <w:rPr>
          <w:vertAlign w:val="subscript"/>
        </w:rPr>
        <w:t>2</w:t>
      </w:r>
      <w:r w:rsidR="001C03BF">
        <w:t>................................................................................................................................74</w:t>
      </w:r>
    </w:p>
    <w:p w14:paraId="6644DCEB" w14:textId="77777777" w:rsidR="005643FD" w:rsidRDefault="005643FD" w:rsidP="00ED7FBC"/>
    <w:p w14:paraId="456B0F63" w14:textId="01B53F2D" w:rsidR="00ED7FBC" w:rsidRDefault="00ED7FBC" w:rsidP="00ED7FBC">
      <w:r>
        <w:t xml:space="preserve">III.3. Mortality profiles for oysters exposed to lethal or sublethal heat shock from four different </w:t>
      </w:r>
      <w:r w:rsidRPr="00ED7FBC">
        <w:rPr>
          <w:i/>
        </w:rPr>
        <w:t>p</w:t>
      </w:r>
      <w:r>
        <w:t>CO</w:t>
      </w:r>
      <w:r w:rsidRPr="00ED7FBC">
        <w:rPr>
          <w:vertAlign w:val="subscript"/>
        </w:rPr>
        <w:t>2</w:t>
      </w:r>
      <w:r>
        <w:t xml:space="preserve"> treatments</w:t>
      </w:r>
      <w:r w:rsidR="001C03BF">
        <w:t>..........................................................................................................75</w:t>
      </w:r>
    </w:p>
    <w:p w14:paraId="7ADC0D64" w14:textId="77777777" w:rsidR="005643FD" w:rsidRDefault="005643FD" w:rsidP="00ED7FBC"/>
    <w:p w14:paraId="34205B72" w14:textId="275B004D" w:rsidR="00ED7FBC" w:rsidRDefault="00ED7FBC" w:rsidP="00ED7FBC">
      <w:r>
        <w:t xml:space="preserve">III.4.  Fold differences for differentially expressed proteins in oysters exposed to ocean acidification stress, mechanical stimulation, </w:t>
      </w:r>
      <w:r w:rsidR="005643FD">
        <w:t>or</w:t>
      </w:r>
      <w:r>
        <w:t xml:space="preserve"> ocean acidification + mechanical stimulation</w:t>
      </w:r>
      <w:r w:rsidR="001C03BF">
        <w:t>...........................................................................................</w:t>
      </w:r>
      <w:r w:rsidR="00E833DC">
        <w:t>..............................78</w:t>
      </w:r>
    </w:p>
    <w:p w14:paraId="66FAB65A" w14:textId="77777777" w:rsidR="005643FD" w:rsidRDefault="005643FD" w:rsidP="00ED7FBC"/>
    <w:p w14:paraId="192136A7" w14:textId="087A8C73" w:rsidR="00ED7FBC" w:rsidRDefault="00ED7FBC" w:rsidP="00ED7FBC">
      <w:r>
        <w:t>III.5. Venn diagram depicting overlap of differentially expressed proteins between different stress responses</w:t>
      </w:r>
      <w:r w:rsidR="001C03BF">
        <w:t>....................................................................................................................79</w:t>
      </w:r>
    </w:p>
    <w:p w14:paraId="1E36C932" w14:textId="77777777" w:rsidR="005643FD" w:rsidRDefault="005643FD" w:rsidP="00ED7FBC"/>
    <w:p w14:paraId="5FA07E98" w14:textId="245894D4" w:rsidR="005643FD" w:rsidRPr="001C03BF" w:rsidRDefault="005643FD" w:rsidP="00ED7FBC">
      <w:r>
        <w:t xml:space="preserve">Appendix A.1. Mean glutathione S-transferase activity in gill tissue of oysters exposed to three different </w:t>
      </w:r>
      <w:r w:rsidRPr="005643FD">
        <w:rPr>
          <w:i/>
        </w:rPr>
        <w:t>p</w:t>
      </w:r>
      <w:r>
        <w:t>CO</w:t>
      </w:r>
      <w:r w:rsidRPr="005643FD">
        <w:rPr>
          <w:vertAlign w:val="subscript"/>
        </w:rPr>
        <w:t>2</w:t>
      </w:r>
      <w:r w:rsidR="001C03BF">
        <w:t>.........................................................................</w:t>
      </w:r>
      <w:r w:rsidR="00E833DC">
        <w:t>.............................112</w:t>
      </w:r>
    </w:p>
    <w:p w14:paraId="36D14D45" w14:textId="77777777" w:rsidR="005643FD" w:rsidRDefault="005643FD" w:rsidP="00ED7FBC"/>
    <w:p w14:paraId="2B257EA9" w14:textId="2E517A86" w:rsidR="005643FD" w:rsidRDefault="005643FD" w:rsidP="00ED7FBC">
      <w:r>
        <w:t xml:space="preserve">Appendix A.2. Mean superoxide dismutase activity in gill tissue of oysters exposed to three different </w:t>
      </w:r>
      <w:r w:rsidRPr="005643FD">
        <w:rPr>
          <w:i/>
        </w:rPr>
        <w:t>p</w:t>
      </w:r>
      <w:r>
        <w:t>CO</w:t>
      </w:r>
      <w:r w:rsidRPr="005643FD">
        <w:rPr>
          <w:vertAlign w:val="subscript"/>
        </w:rPr>
        <w:t>2</w:t>
      </w:r>
      <w:r w:rsidR="001C03BF">
        <w:t>...........................................................................................</w:t>
      </w:r>
      <w:r w:rsidR="00E833DC">
        <w:t>.............................113</w:t>
      </w:r>
    </w:p>
    <w:p w14:paraId="6F3DBB90" w14:textId="77777777" w:rsidR="00E833DC" w:rsidRDefault="00E833DC" w:rsidP="00ED7FBC"/>
    <w:p w14:paraId="06D64039" w14:textId="61A7BA15" w:rsidR="00E833DC" w:rsidRDefault="00E833DC" w:rsidP="00ED7FBC">
      <w:r>
        <w:t>Appendix B.1. Example of normal digestive tubules an</w:t>
      </w:r>
      <w:r w:rsidR="00CB5AAE">
        <w:t>d of cuboidal metaplasia</w:t>
      </w:r>
      <w:proofErr w:type="gramStart"/>
      <w:r w:rsidR="00CB5AAE">
        <w:t>.....</w:t>
      </w:r>
      <w:proofErr w:type="gramEnd"/>
      <w:r w:rsidR="00CB5AAE">
        <w:t>120</w:t>
      </w:r>
    </w:p>
    <w:p w14:paraId="37322563" w14:textId="77777777" w:rsidR="00E833DC" w:rsidRDefault="00E833DC" w:rsidP="00ED7FBC"/>
    <w:p w14:paraId="19D120CE" w14:textId="16C5BA87" w:rsidR="00E833DC" w:rsidRPr="001C03BF" w:rsidRDefault="00E833DC" w:rsidP="00ED7FBC">
      <w:r>
        <w:t xml:space="preserve">Appendix B.2. Proportion digestive tubules in cuboidal metaplasia at different </w:t>
      </w:r>
      <w:r w:rsidRPr="00E833DC">
        <w:rPr>
          <w:i/>
        </w:rPr>
        <w:t>p</w:t>
      </w:r>
      <w:r>
        <w:t>CO</w:t>
      </w:r>
      <w:r w:rsidRPr="00E833DC">
        <w:rPr>
          <w:vertAlign w:val="subscript"/>
        </w:rPr>
        <w:t>2</w:t>
      </w:r>
      <w:r>
        <w:t>, with and without additional mechanical stress..........................................</w:t>
      </w:r>
      <w:r w:rsidR="00CB5AAE">
        <w:t>.............................121</w:t>
      </w:r>
    </w:p>
    <w:p w14:paraId="1585AC77" w14:textId="77777777" w:rsidR="00C02D9B" w:rsidRDefault="00C02D9B" w:rsidP="00C02D9B">
      <w:pPr>
        <w:pStyle w:val="Heading1"/>
      </w:pPr>
      <w:bookmarkStart w:id="3" w:name="_Toc252109968"/>
      <w:r>
        <w:t>List of Tables</w:t>
      </w:r>
      <w:bookmarkEnd w:id="3"/>
    </w:p>
    <w:p w14:paraId="6E52532D" w14:textId="77777777" w:rsidR="005643FD" w:rsidRPr="005643FD" w:rsidRDefault="005643FD" w:rsidP="005643FD"/>
    <w:p w14:paraId="168E1C32" w14:textId="7463A0BB" w:rsidR="005643FD" w:rsidRDefault="005643FD" w:rsidP="005643FD">
      <w:r>
        <w:t>I.1. Summary of water chemistry data for oyster larvae experiment</w:t>
      </w:r>
      <w:r w:rsidR="001C03BF">
        <w:t>...............................29</w:t>
      </w:r>
    </w:p>
    <w:p w14:paraId="56AF71D8" w14:textId="77777777" w:rsidR="005643FD" w:rsidRDefault="005643FD" w:rsidP="005643FD"/>
    <w:p w14:paraId="64DC729E" w14:textId="5BC0864B" w:rsidR="005643FD" w:rsidRDefault="005643FD" w:rsidP="005643FD">
      <w:r>
        <w:t>I.2. Tukey HSD results for ANOVA of oyster larval hinge length and shell height</w:t>
      </w:r>
      <w:proofErr w:type="gramStart"/>
      <w:r w:rsidR="001C03BF">
        <w:t>.......</w:t>
      </w:r>
      <w:proofErr w:type="gramEnd"/>
      <w:r w:rsidR="001C03BF">
        <w:t>32</w:t>
      </w:r>
    </w:p>
    <w:p w14:paraId="23AF629B" w14:textId="77777777" w:rsidR="005643FD" w:rsidRDefault="005643FD" w:rsidP="005643FD"/>
    <w:p w14:paraId="1A66A6CF" w14:textId="0CF54F98" w:rsidR="005643FD" w:rsidRDefault="005643FD" w:rsidP="005643FD">
      <w:r>
        <w:t>II.1. Number of peptides sequenced across four oysters</w:t>
      </w:r>
      <w:r w:rsidR="00EC2EC9">
        <w:t>........................................................50</w:t>
      </w:r>
    </w:p>
    <w:p w14:paraId="6F1A0626" w14:textId="77777777" w:rsidR="005643FD" w:rsidRDefault="005643FD" w:rsidP="005643FD"/>
    <w:p w14:paraId="20579E8C" w14:textId="7792CF1D" w:rsidR="005643FD" w:rsidRDefault="005643FD" w:rsidP="005643FD">
      <w:r>
        <w:t>II.2. The ten most abundant proteins identified across four oysters</w:t>
      </w:r>
      <w:r w:rsidR="00EC2EC9">
        <w:t>................................53</w:t>
      </w:r>
    </w:p>
    <w:p w14:paraId="5C6A336E" w14:textId="77777777" w:rsidR="005643FD" w:rsidRDefault="005643FD" w:rsidP="005643FD"/>
    <w:p w14:paraId="5471AB06" w14:textId="37339F23" w:rsidR="005643FD" w:rsidRDefault="005643FD" w:rsidP="005643FD">
      <w:r>
        <w:t>III.1. Summary of water chemistry data for the adult oyster experiment</w:t>
      </w:r>
      <w:r w:rsidR="00EC2EC9">
        <w:t>......................72</w:t>
      </w:r>
    </w:p>
    <w:p w14:paraId="27BAD56E" w14:textId="77777777" w:rsidR="005643FD" w:rsidRDefault="005643FD" w:rsidP="005643FD"/>
    <w:p w14:paraId="58BA66CB" w14:textId="35AB42B3" w:rsidR="005643FD" w:rsidRDefault="005643FD" w:rsidP="005643FD">
      <w:r>
        <w:t xml:space="preserve">III.2. Buoyant weight of oysters across four different </w:t>
      </w:r>
      <w:r w:rsidRPr="005643FD">
        <w:rPr>
          <w:i/>
        </w:rPr>
        <w:t>p</w:t>
      </w:r>
      <w:r>
        <w:t>CO</w:t>
      </w:r>
      <w:r w:rsidRPr="005643FD">
        <w:rPr>
          <w:vertAlign w:val="subscript"/>
        </w:rPr>
        <w:t>2</w:t>
      </w:r>
      <w:r>
        <w:t xml:space="preserve"> at the beginning and end of the experiment</w:t>
      </w:r>
      <w:r w:rsidR="00EC2EC9">
        <w:t>.....................................................................................................................................72</w:t>
      </w:r>
    </w:p>
    <w:p w14:paraId="4A53B58C" w14:textId="77777777" w:rsidR="005643FD" w:rsidRDefault="005643FD" w:rsidP="005643FD"/>
    <w:p w14:paraId="0868A49D" w14:textId="29AFEE18" w:rsidR="005643FD" w:rsidRPr="005643FD" w:rsidRDefault="005643FD" w:rsidP="005643FD">
      <w:r>
        <w:t>III.3. Number of proteins identified across three technical replicates for the 16 sequenced oyster proteomes</w:t>
      </w:r>
      <w:r w:rsidR="00EC2EC9">
        <w:t>..............................................................................................................77</w:t>
      </w:r>
    </w:p>
    <w:p w14:paraId="4A7854E1" w14:textId="77777777" w:rsidR="005643FD" w:rsidRDefault="005643FD" w:rsidP="00C02D9B">
      <w:pPr>
        <w:pStyle w:val="Heading1"/>
      </w:pPr>
    </w:p>
    <w:p w14:paraId="28332B86" w14:textId="77777777" w:rsidR="00EC2EC9" w:rsidRDefault="00EC2EC9" w:rsidP="00EC2EC9">
      <w:pPr>
        <w:rPr>
          <w:rFonts w:ascii="Times" w:eastAsiaTheme="majorEastAsia" w:hAnsi="Times" w:cstheme="majorBidi"/>
          <w:b/>
          <w:bCs/>
          <w:sz w:val="32"/>
          <w:szCs w:val="32"/>
        </w:rPr>
      </w:pPr>
    </w:p>
    <w:p w14:paraId="4E196F06" w14:textId="77777777" w:rsidR="00EC2EC9" w:rsidRDefault="00EC2EC9" w:rsidP="00EC2EC9">
      <w:pPr>
        <w:rPr>
          <w:rFonts w:ascii="Times" w:eastAsiaTheme="majorEastAsia" w:hAnsi="Times" w:cstheme="majorBidi"/>
          <w:b/>
          <w:bCs/>
          <w:sz w:val="32"/>
          <w:szCs w:val="32"/>
        </w:rPr>
      </w:pPr>
    </w:p>
    <w:p w14:paraId="40C50DA0" w14:textId="77777777" w:rsidR="00EC2EC9" w:rsidRDefault="00EC2EC9" w:rsidP="00EC2EC9">
      <w:pPr>
        <w:rPr>
          <w:rFonts w:ascii="Times" w:eastAsiaTheme="majorEastAsia" w:hAnsi="Times" w:cstheme="majorBidi"/>
          <w:b/>
          <w:bCs/>
          <w:sz w:val="32"/>
          <w:szCs w:val="32"/>
        </w:rPr>
      </w:pPr>
    </w:p>
    <w:p w14:paraId="6D28196D" w14:textId="77777777" w:rsidR="00CB5AAE" w:rsidRDefault="00CB5AAE" w:rsidP="00CB5AAE">
      <w:pPr>
        <w:rPr>
          <w:rFonts w:ascii="Times" w:eastAsiaTheme="majorEastAsia" w:hAnsi="Times" w:cstheme="majorBidi"/>
          <w:b/>
          <w:bCs/>
          <w:sz w:val="32"/>
          <w:szCs w:val="32"/>
        </w:rPr>
      </w:pPr>
      <w:bookmarkStart w:id="4" w:name="_Toc252109969"/>
    </w:p>
    <w:p w14:paraId="44360814" w14:textId="77777777" w:rsidR="00C02D9B" w:rsidRDefault="00C02D9B" w:rsidP="00CB5AAE">
      <w:pPr>
        <w:pStyle w:val="Heading1"/>
      </w:pPr>
      <w:r>
        <w:t>Introduction</w:t>
      </w:r>
      <w:bookmarkEnd w:id="4"/>
    </w:p>
    <w:p w14:paraId="67E0BF9B" w14:textId="77777777" w:rsidR="00C02D9B" w:rsidRDefault="00C02D9B" w:rsidP="00C02D9B">
      <w:pPr>
        <w:pStyle w:val="Heading2"/>
      </w:pPr>
      <w:bookmarkStart w:id="5" w:name="_Toc252109970"/>
      <w:r>
        <w:t>Background</w:t>
      </w:r>
      <w:bookmarkEnd w:id="5"/>
    </w:p>
    <w:p w14:paraId="5A4F37E5" w14:textId="77777777" w:rsidR="00D92FB6" w:rsidRPr="00D92FB6" w:rsidRDefault="00D92FB6" w:rsidP="00D92FB6"/>
    <w:p w14:paraId="627C20BA" w14:textId="77777777" w:rsidR="006315D6" w:rsidRDefault="006315D6" w:rsidP="006315D6">
      <w:pPr>
        <w:spacing w:line="360" w:lineRule="auto"/>
        <w:ind w:firstLine="720"/>
      </w:pPr>
      <w:r>
        <w:t>Global climate change and other human influences are already impacting natural aquatic environments and are expected to increase in intensity in the coming decades.  These diverse changes include input of pollutants into waterways, altered river flow that can affect water chemistry and hydrography, sea level rise, increasing intensity of temperature fluctuations and overall temperature rise, and decreasing ocean pH.  The marine environment, especially in nearshore areas, is already hypervariable, home to inherent stressors for marine organisms.  As the environment continues to change, local populations will either have to adapt to new sources of environmental variability and weather new stressors, or they will be forced to shift their ranges to more suitable habitats.  In this way, both the ecology and biology of aquatic animals can give us insight into the kinds of changes that are occurring in the marine environment, as well as how those changes are affecting organism physiology and fitness.  Sessile marine organisms are especially useful in this regard since they serve as environmental sentinels for a specific location.</w:t>
      </w:r>
    </w:p>
    <w:p w14:paraId="4F007761" w14:textId="77777777" w:rsidR="006315D6" w:rsidRDefault="006315D6" w:rsidP="006315D6">
      <w:pPr>
        <w:spacing w:line="360" w:lineRule="auto"/>
        <w:ind w:firstLine="720"/>
      </w:pPr>
      <w:r w:rsidRPr="00EF65D8">
        <w:rPr>
          <w:i/>
        </w:rPr>
        <w:t>In situ</w:t>
      </w:r>
      <w:r>
        <w:t xml:space="preserve"> experiments, such as biomonitoring, give insight into how a specific location’s environment impacts local populations; however, controlled laboratory exposures can provide greater information on specific responses to targeted stressors.  In a laboratory setting, dose-dependent responses can also be more easily established (e.g. </w:t>
      </w:r>
      <w:r>
        <w:fldChar w:fldCharType="begin" w:fldLock="1"/>
      </w:r>
      <w:r>
        <w:instrText>ADDIN CSL_CITATION { "citationItems" : [ { "id" : "ITEM-1", "itemData" : { "DOI" : "10.1016/j.aquatox.2011.09.003", "ISSN" : "1879-1514", "PMID" : "21963596", "abstract" : "Understanding the toxic mechanisms by which organisms cope to environmental stressful conditions is a fundamental question for ecotoxicology. In this study, we evaluated biochemical responses and hydrocarbons bioaccumulation of the mangrove oyster Crassostrea brasiliana exposed for 96 h to four sublethal concentrations of diesel fuel water-accommodated fraction (WAF). For that purpose, enzymatic activities (SOD, CAT, GPx, GR, G6PDH, GST and GGT), HSP60 and HSP90 immunocontent and lipid peroxidation (LPO) levels were determined in the gill and digestive gland of oysters and related to the hydrocarbons accumulated in the whole soft tissues. The results of this study revealed clear biochemical responses to diesel fuel WAF exposure in both tissues of the oyster. The capacity of C. brasiliana to bioaccumulate aliphatic and aromatic hydrocarbons in a dose-dependent manner is a strong indication of its suitability as a model in biomonitoring programs along the Brazilian coast, which was also validated by the response of the antioxidant defenses, phase II biotransformation and chaperones. HSP60 levels and GGT activity were the most promising biomarkers in the gill, while GST and GR activities stood out as suitable biomarkers for the detection of diesel toxicity in the digestive gland. The decrease of SOD activity and HSP90 levels may also reflect a negative effect of diesel exposure regardless the tissue. The present results provide a sound preliminary report on the biochemical responses of C. brasiliana challenged with a petroleum by-product and should be carefully considered for use in the monitoring of oil and gas activities in Brazil.", "author" : [ { "dropping-particle" : "", "family" : "L\u00fcchmann", "given" : "Karim H", "non-dropping-particle" : "", "parse-names" : false, "suffix" : "" }, { "dropping-particle" : "", "family" : "Mattos", "given" : "Jac\u00f3 J", "non-dropping-particle" : "", "parse-names" : false, "suffix" : "" }, { "dropping-particle" : "", "family" : "Siebert", "given" : "Mar\u00edlia N", "non-dropping-particle" : "", "parse-names" : false, "suffix" : "" }, { "dropping-particle" : "", "family" : "Granucci", "given" : "Ninna", "non-dropping-particle" : "", "parse-names" : false, "suffix" : "" }, { "dropping-particle" : "", "family" : "Dorrington", "given" : "Tarquin S", "non-dropping-particle" : "", "parse-names" : false, "suffix" : "" }, { "dropping-particle" : "", "family" : "B\u00edcego", "given" : "M\u00e1rcia C", "non-dropping-particle" : "", "parse-names" : false, "suffix" : "" }, { "dropping-particle" : "", "family" : "Taniguchi", "given" : "Satie", "non-dropping-particle" : "", "parse-names" : false, "suffix" : "" }, { "dropping-particle" : "", "family" : "Sasaki", "given" : "Silvio T", "non-dropping-particle" : "", "parse-names" : false, "suffix" : "" }, { "dropping-particle" : "", "family" : "Daura-Jorge", "given" : "F\u00e1bio G", "non-dropping-particle" : "", "parse-names" : false, "suffix" : "" }, { "dropping-particle" : "", "family" : "Bainy", "given" : "Afonso C D", "non-dropping-particle" : "", "parse-names" : false, "suffix" : "" } ], "container-title" : "Aquatic toxicology (Amsterdam, Netherlands)", "id" : "ITEM-1", "issue" : "3-4", "issued" : { "date-parts" : [ [ "2011", "10" ] ] }, "page" : "652-60", "title" : "Biochemical biomarkers and hydrocarbons concentrations in the mangrove oyster Crassostrea brasiliana following exposure to diesel fuel water-accommodated fraction.", "type" : "article-journal", "volume" : "105" }, "uris" : [ "http://www.mendeley.com/documents/?uuid=56acf107-59a7-43ef-bd71-6c70bf95b971" ] } ], "mendeley" : { "manualFormatting" : "L\u00fcchmann et al., 2011)", "previouslyFormattedCitation" : "(L\u00fcchmann et al., 2011)" }, "properties" : { "noteIndex" : 0 }, "schema" : "https://github.com/citation-style-language/schema/raw/master/csl-citation.json" }</w:instrText>
      </w:r>
      <w:r>
        <w:fldChar w:fldCharType="separate"/>
      </w:r>
      <w:r w:rsidRPr="00383060">
        <w:rPr>
          <w:noProof/>
        </w:rPr>
        <w:t>Lüchmann et al., 2011)</w:t>
      </w:r>
      <w:r>
        <w:fldChar w:fldCharType="end"/>
      </w:r>
      <w:r>
        <w:t xml:space="preserve">.  This precise information can then be applied in a field context to better understand to which environmental changes organisms are reacting.  </w:t>
      </w:r>
    </w:p>
    <w:p w14:paraId="7843F788" w14:textId="5FF0AF16" w:rsidR="006315D6" w:rsidRPr="006315D6" w:rsidRDefault="006315D6" w:rsidP="00D92FB6">
      <w:pPr>
        <w:spacing w:line="360" w:lineRule="auto"/>
        <w:ind w:firstLine="720"/>
      </w:pPr>
      <w:r>
        <w:t xml:space="preserve">Pacific oysters, </w:t>
      </w:r>
      <w:r>
        <w:rPr>
          <w:i/>
        </w:rPr>
        <w:t>Crassostrea gigas</w:t>
      </w:r>
      <w:r>
        <w:t xml:space="preserve">, have a long history as subjects of ecological, physiological, and molecular research, making them a strong model for further explorations of response to environmental change.  </w:t>
      </w:r>
      <w:r>
        <w:rPr>
          <w:i/>
        </w:rPr>
        <w:t xml:space="preserve">C. </w:t>
      </w:r>
      <w:proofErr w:type="gramStart"/>
      <w:r>
        <w:rPr>
          <w:i/>
        </w:rPr>
        <w:t>gigas</w:t>
      </w:r>
      <w:proofErr w:type="gramEnd"/>
      <w:r>
        <w:rPr>
          <w:i/>
        </w:rPr>
        <w:t xml:space="preserve"> </w:t>
      </w:r>
      <w:r>
        <w:t xml:space="preserve">is a dioecious broadcast spawner that inhabits the intertidal environment, which is subject to daily, seasonal, and annual environmental fluctuations.  Pacific oysters have also been introduced for aquaculture worldwide, proving adept at inhabiting a variety of environments and even out-competing some local species.  These ecological and biological characteristics suggest that </w:t>
      </w:r>
      <w:r>
        <w:rPr>
          <w:i/>
        </w:rPr>
        <w:t xml:space="preserve">C. gigas </w:t>
      </w:r>
      <w:r>
        <w:t>is well adapted to environmental change, at least the natural sources of change that it has encountered to this point.  As such, it is a robust physiological model in which to study the effects of environmental extremes.</w:t>
      </w:r>
    </w:p>
    <w:p w14:paraId="34237D11" w14:textId="77777777" w:rsidR="00DF70F0" w:rsidRDefault="00C02D9B" w:rsidP="00C02D9B">
      <w:pPr>
        <w:pStyle w:val="Heading2"/>
      </w:pPr>
      <w:bookmarkStart w:id="6" w:name="_Toc252109971"/>
      <w:r>
        <w:t>Ocean acidification</w:t>
      </w:r>
      <w:bookmarkEnd w:id="6"/>
    </w:p>
    <w:p w14:paraId="71B22556" w14:textId="77777777" w:rsidR="00D92FB6" w:rsidRPr="00D92FB6" w:rsidRDefault="00D92FB6" w:rsidP="00D92FB6"/>
    <w:p w14:paraId="507E61DD" w14:textId="77777777" w:rsidR="006315D6" w:rsidRDefault="006315D6" w:rsidP="006315D6">
      <w:pPr>
        <w:spacing w:line="360" w:lineRule="auto"/>
        <w:ind w:firstLine="720"/>
      </w:pPr>
      <w:r>
        <w:t>Ocean acidification is the reduction of ocean water pH due directly to rising levels of atmospheric CO</w:t>
      </w:r>
      <w:r w:rsidRPr="00764954">
        <w:rPr>
          <w:vertAlign w:val="subscript"/>
        </w:rPr>
        <w:t>2</w:t>
      </w:r>
      <w:r>
        <w:t>.  Since the industrial revolution in the 18</w:t>
      </w:r>
      <w:r w:rsidRPr="00924A36">
        <w:rPr>
          <w:vertAlign w:val="superscript"/>
        </w:rPr>
        <w:t>th</w:t>
      </w:r>
      <w:r>
        <w:t xml:space="preserve"> century, CO</w:t>
      </w:r>
      <w:r w:rsidRPr="00764954">
        <w:rPr>
          <w:vertAlign w:val="subscript"/>
        </w:rPr>
        <w:t>2</w:t>
      </w:r>
      <w:r>
        <w:t xml:space="preserve"> deposition into the atmospheric has increased at an accelerating rate.  The increasing partial pressure of CO</w:t>
      </w:r>
      <w:r w:rsidRPr="00764954">
        <w:rPr>
          <w:vertAlign w:val="subscript"/>
        </w:rPr>
        <w:t>2</w:t>
      </w:r>
      <w:r>
        <w:t xml:space="preserve"> (</w:t>
      </w:r>
      <w:r w:rsidRPr="00764954">
        <w:rPr>
          <w:i/>
        </w:rPr>
        <w:t>p</w:t>
      </w:r>
      <w:r>
        <w:t>CO</w:t>
      </w:r>
      <w:r w:rsidRPr="00764954">
        <w:rPr>
          <w:vertAlign w:val="subscript"/>
        </w:rPr>
        <w:t>2</w:t>
      </w:r>
      <w:r>
        <w:t xml:space="preserve">), as well as other greenhouse gases, has contributed to what is commonly known as global warming, as well as ocean acidification.  Current average atmospheric </w:t>
      </w:r>
      <w:r w:rsidRPr="00764954">
        <w:rPr>
          <w:i/>
        </w:rPr>
        <w:t>p</w:t>
      </w:r>
      <w:r>
        <w:t>CO</w:t>
      </w:r>
      <w:r w:rsidRPr="00764954">
        <w:rPr>
          <w:vertAlign w:val="subscript"/>
        </w:rPr>
        <w:t>2</w:t>
      </w:r>
      <w:r>
        <w:t xml:space="preserve"> is approximately 400 ppm, higher than the highest </w:t>
      </w:r>
      <w:r w:rsidRPr="00ED6F22">
        <w:rPr>
          <w:i/>
        </w:rPr>
        <w:t>p</w:t>
      </w:r>
      <w:r>
        <w:t>CO</w:t>
      </w:r>
      <w:r w:rsidRPr="00ED6F22">
        <w:rPr>
          <w:vertAlign w:val="subscript"/>
        </w:rPr>
        <w:t>2</w:t>
      </w:r>
      <w:r>
        <w:t xml:space="preserve"> over the past 2.1 million years (approximately 300 ppm; </w:t>
      </w:r>
      <w:r>
        <w:fldChar w:fldCharType="begin" w:fldLock="1"/>
      </w:r>
      <w:r>
        <w:instrText>ADDIN CSL_CITATION { "citationItems" : [ { "id" : "ITEM-1", "itemData" : { "DOI" : "10.1126/science.1171477", "ISSN" : "1095-9203", "PMID" : "19541994", "abstract" : "The dominant period of Pleistocene glacial cycles changed during the mid-Pleistocene from 40,000 years to 100,000 years, for as yet unknown reasons. Here we present a 2.1-million-year record of sea surface partial pressure of CO2 (Pco2), based on boron isotopes in planktic foraminifer shells, which suggests that the atmospheric partial pressure of CO2 (pco2) was relatively stable before the mid-Pleistocene climate transition. Glacial Pco2 was approximately 31 microatmospheres higher before the transition (more than 1 million years ago), but interglacial Pco2 was similar to that of late Pleistocene interglacial cycles (&lt;450,000 years ago). These estimates are consistent with a close linkage between atmospheric CO2 concentration and global climate, but the lack of a gradual decrease in interglacial Pco2 does not support the suggestion that a long-term drawdown of atmospheric CO2 was the main cause of the climate transition.", "author" : [ { "dropping-particle" : "", "family" : "H\u00f6nisch", "given" : "B\u00e4rbel", "non-dropping-particle" : "", "parse-names" : false, "suffix" : "" }, { "dropping-particle" : "", "family" : "Hemming", "given" : "N Gary", "non-dropping-particle" : "", "parse-names" : false, "suffix" : "" }, { "dropping-particle" : "", "family" : "Archer", "given" : "David", "non-dropping-particle" : "", "parse-names" : false, "suffix" : "" }, { "dropping-particle" : "", "family" : "Siddall", "given" : "Mark", "non-dropping-particle" : "", "parse-names" : false, "suffix" : "" }, { "dropping-particle" : "", "family" : "McManus", "given" : "Jerry F", "non-dropping-particle" : "", "parse-names" : false, "suffix" : "" } ], "container-title" : "Science (New York, N.Y.)", "id" : "ITEM-1", "issue" : "5934", "issued" : { "date-parts" : [ [ "2009", "6", "19" ] ] }, "page" : "1551-4", "title" : "Atmospheric carbon dioxide concentration across the mid-Pleistocene transition.", "type" : "article-journal", "volume" : "324" }, "uris" : [ "http://www.mendeley.com/documents/?uuid=5bf37fb8-0bd7-41ee-bc33-1c8fe5e8fe6e" ] } ], "mendeley" : { "manualFormatting" : "H\u00f6nisch et al. 2009)", "previouslyFormattedCitation" : "(H\u00f6nisch, Hemming, Archer, Siddall, &amp; McManus, 2009)" }, "properties" : { "noteIndex" : 0 }, "schema" : "https://github.com/citation-style-language/schema/raw/master/csl-citation.json" }</w:instrText>
      </w:r>
      <w:r>
        <w:fldChar w:fldCharType="separate"/>
      </w:r>
      <w:r>
        <w:rPr>
          <w:noProof/>
        </w:rPr>
        <w:t xml:space="preserve">Hönisch et al. </w:t>
      </w:r>
      <w:r w:rsidRPr="00383060">
        <w:rPr>
          <w:noProof/>
        </w:rPr>
        <w:t>2009)</w:t>
      </w:r>
      <w:r>
        <w:fldChar w:fldCharType="end"/>
      </w:r>
      <w:r>
        <w:t>.  According to the Intergovernmental Panel on Climate Change’s (IPCC) B1 scenario (stabilized population growth by 2050 and a more service- and information–driven economy), average global CO</w:t>
      </w:r>
      <w:r w:rsidRPr="00764954">
        <w:rPr>
          <w:vertAlign w:val="subscript"/>
        </w:rPr>
        <w:t>2</w:t>
      </w:r>
      <w:r>
        <w:t xml:space="preserve"> emissions will attain 650 ppm by 2100 </w:t>
      </w:r>
      <w:r>
        <w:fldChar w:fldCharType="begin" w:fldLock="1"/>
      </w:r>
      <w: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fldChar w:fldCharType="separate"/>
      </w:r>
      <w:r>
        <w:rPr>
          <w:noProof/>
        </w:rPr>
        <w:t>(Caldeira and Wickett</w:t>
      </w:r>
      <w:r w:rsidRPr="00383060">
        <w:rPr>
          <w:noProof/>
        </w:rPr>
        <w:t xml:space="preserve"> 2005)</w:t>
      </w:r>
      <w:r>
        <w:fldChar w:fldCharType="end"/>
      </w:r>
      <w:r>
        <w:t xml:space="preserve">.  If population growth occurs at a higher rate accompanied by slow economic development and limited technological changes (IPCC’s A2 scenario), emissions will likely reach 970 ppm by 2100 </w:t>
      </w:r>
      <w:r>
        <w:fldChar w:fldCharType="begin" w:fldLock="1"/>
      </w:r>
      <w: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fldChar w:fldCharType="separate"/>
      </w:r>
      <w:r>
        <w:rPr>
          <w:noProof/>
        </w:rPr>
        <w:t>(Caldeira and Wickett</w:t>
      </w:r>
      <w:r w:rsidRPr="00383060">
        <w:rPr>
          <w:noProof/>
        </w:rPr>
        <w:t xml:space="preserve"> 2005)</w:t>
      </w:r>
      <w:r>
        <w:fldChar w:fldCharType="end"/>
      </w:r>
      <w:r>
        <w:t xml:space="preserve">.  The atmospheric </w:t>
      </w:r>
      <w:r w:rsidRPr="00764954">
        <w:rPr>
          <w:i/>
        </w:rPr>
        <w:t>p</w:t>
      </w:r>
      <w:r>
        <w:t>CO</w:t>
      </w:r>
      <w:r w:rsidRPr="00764954">
        <w:rPr>
          <w:vertAlign w:val="subscript"/>
        </w:rPr>
        <w:t>2</w:t>
      </w:r>
      <w:r>
        <w:t xml:space="preserve"> increases that have already occurred have caused a global trend of the undersaturation horizon of CaCO</w:t>
      </w:r>
      <w:r w:rsidRPr="00764954">
        <w:rPr>
          <w:vertAlign w:val="subscript"/>
        </w:rPr>
        <w:t>3</w:t>
      </w:r>
      <w:r>
        <w:t xml:space="preserve"> moving up to more shallow waters </w:t>
      </w:r>
      <w:r>
        <w:fldChar w:fldCharType="begin" w:fldLock="1"/>
      </w:r>
      <w: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fldChar w:fldCharType="separate"/>
      </w:r>
      <w:r w:rsidRPr="00383060">
        <w:rPr>
          <w:noProof/>
        </w:rPr>
        <w:t>(Feely et al., 2004, 2012)</w:t>
      </w:r>
      <w:r>
        <w:fldChar w:fldCharType="end"/>
      </w:r>
      <w:r>
        <w:t xml:space="preserve">, which is projected to become more persistent and widespread by 2050 and beyond </w:t>
      </w:r>
      <w:r>
        <w:fldChar w:fldCharType="begin" w:fldLock="1"/>
      </w:r>
      <w:r>
        <w:instrText>ADDIN CSL_CITATION { "citationItems" : [ { "id" : "ITEM-1",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(New York, N.Y.)", "id" : "ITEM-1", "issue" : "6091", "issued" : { "date-parts" : [ [ "2012", "7", "13" ] ] }, "page" : "220-3", "title" : "Rapid progression of ocean acidification in the California Current System.", "type" : "article-journal", "volume" : "337" }, "uris" : [ "http://www.mendeley.com/documents/?uuid=fd7f6cce-a586-4e59-8a90-9d2acdda7f94" ] } ], "mendeley" : { "previouslyFormattedCitation" : "(Gruber et al., 2012)" }, "properties" : { "noteIndex" : 0 }, "schema" : "https://github.com/citation-style-language/schema/raw/master/csl-citation.json" }</w:instrText>
      </w:r>
      <w:r>
        <w:fldChar w:fldCharType="separate"/>
      </w:r>
      <w:r w:rsidRPr="00383060">
        <w:rPr>
          <w:noProof/>
        </w:rPr>
        <w:t>(Gruber et al., 2012)</w:t>
      </w:r>
      <w:r>
        <w:fldChar w:fldCharType="end"/>
      </w:r>
      <w:r>
        <w:t>.</w:t>
      </w:r>
    </w:p>
    <w:p w14:paraId="2F79B995" w14:textId="77777777" w:rsidR="006315D6" w:rsidRPr="006315D6" w:rsidRDefault="006315D6" w:rsidP="006315D6"/>
    <w:p w14:paraId="5081D442" w14:textId="77777777" w:rsidR="00C02D9B" w:rsidRDefault="00C02D9B" w:rsidP="00C02D9B">
      <w:pPr>
        <w:pStyle w:val="Heading3"/>
      </w:pPr>
      <w:bookmarkStart w:id="7" w:name="_Toc252109972"/>
      <w:r>
        <w:t>Chemistry</w:t>
      </w:r>
      <w:bookmarkEnd w:id="7"/>
    </w:p>
    <w:p w14:paraId="1D4EC396" w14:textId="77777777" w:rsidR="00D92FB6" w:rsidRPr="00D92FB6" w:rsidRDefault="00D92FB6" w:rsidP="00D92FB6"/>
    <w:p w14:paraId="645B9C1B" w14:textId="77777777" w:rsidR="006315D6" w:rsidRDefault="006315D6" w:rsidP="006315D6">
      <w:pPr>
        <w:spacing w:line="360" w:lineRule="auto"/>
        <w:ind w:firstLine="720"/>
      </w:pPr>
      <w:r>
        <w:t>The reduction in pH from atmospheric CO</w:t>
      </w:r>
      <w:r w:rsidRPr="00764954">
        <w:rPr>
          <w:vertAlign w:val="subscript"/>
        </w:rPr>
        <w:t>2</w:t>
      </w:r>
      <w:r>
        <w:t xml:space="preserve"> equilibration with ocean water occurs according to the following reaction:</w:t>
      </w:r>
    </w:p>
    <w:p w14:paraId="2980B145" w14:textId="77777777" w:rsidR="006315D6" w:rsidRDefault="006315D6" w:rsidP="006315D6">
      <w:pPr>
        <w:spacing w:line="360" w:lineRule="auto"/>
      </w:pPr>
    </w:p>
    <w:p w14:paraId="491D6867" w14:textId="77777777" w:rsidR="006315D6" w:rsidRDefault="006315D6" w:rsidP="006315D6">
      <w:pPr>
        <w:spacing w:line="360" w:lineRule="auto"/>
      </w:pPr>
      <w:r>
        <w:t>CO</w:t>
      </w:r>
      <w:r w:rsidRPr="00245F88">
        <w:rPr>
          <w:vertAlign w:val="subscript"/>
        </w:rPr>
        <w:t>2</w:t>
      </w:r>
      <w:r>
        <w:t xml:space="preserve"> + </w:t>
      </w:r>
      <w:proofErr w:type="gramStart"/>
      <w:r>
        <w:t>H</w:t>
      </w:r>
      <w:r w:rsidRPr="00245F88">
        <w:rPr>
          <w:vertAlign w:val="subscript"/>
        </w:rPr>
        <w:t>2</w:t>
      </w:r>
      <w:r>
        <w:t xml:space="preserve">O  </w:t>
      </w:r>
      <w:r>
        <w:rPr>
          <w:rFonts w:ascii="Wingdings" w:hAnsi="Wingdings"/>
        </w:rPr>
        <w:t></w:t>
      </w:r>
      <w:proofErr w:type="gramEnd"/>
      <w:r>
        <w:t xml:space="preserve"> H</w:t>
      </w:r>
      <w:r w:rsidRPr="00245F88">
        <w:rPr>
          <w:vertAlign w:val="subscript"/>
        </w:rPr>
        <w:t>2</w:t>
      </w:r>
      <w:r>
        <w:t>CO</w:t>
      </w:r>
      <w:r w:rsidRPr="00245F88">
        <w:rPr>
          <w:vertAlign w:val="subscript"/>
        </w:rPr>
        <w:t>3</w:t>
      </w:r>
      <w:r>
        <w:t xml:space="preserve"> </w:t>
      </w:r>
      <w:r>
        <w:rPr>
          <w:rFonts w:ascii="Wingdings" w:hAnsi="Wingdings"/>
        </w:rPr>
        <w:t></w:t>
      </w:r>
      <w:r>
        <w:t xml:space="preserve"> H</w:t>
      </w:r>
      <w:r w:rsidRPr="00245F88">
        <w:rPr>
          <w:vertAlign w:val="superscript"/>
        </w:rPr>
        <w:t>+</w:t>
      </w:r>
      <w:r>
        <w:t xml:space="preserve"> + HCO</w:t>
      </w:r>
      <w:r w:rsidRPr="00245F88">
        <w:rPr>
          <w:vertAlign w:val="subscript"/>
        </w:rPr>
        <w:t>3</w:t>
      </w:r>
      <w:r w:rsidRPr="00245F88">
        <w:rPr>
          <w:vertAlign w:val="superscript"/>
        </w:rPr>
        <w:t>-</w:t>
      </w:r>
      <w:r>
        <w:t xml:space="preserve"> </w:t>
      </w:r>
      <w:r>
        <w:rPr>
          <w:rFonts w:ascii="Wingdings" w:hAnsi="Wingdings"/>
        </w:rPr>
        <w:t></w:t>
      </w:r>
      <w:r>
        <w:t xml:space="preserve"> H</w:t>
      </w:r>
      <w:r w:rsidRPr="00245F88">
        <w:rPr>
          <w:vertAlign w:val="superscript"/>
        </w:rPr>
        <w:t>+</w:t>
      </w:r>
      <w:r>
        <w:t xml:space="preserve"> + CO</w:t>
      </w:r>
      <w:r w:rsidRPr="00245F88">
        <w:rPr>
          <w:vertAlign w:val="subscript"/>
        </w:rPr>
        <w:t>3</w:t>
      </w:r>
      <w:r w:rsidRPr="00245F88">
        <w:rPr>
          <w:vertAlign w:val="superscript"/>
        </w:rPr>
        <w:t>2-</w:t>
      </w:r>
    </w:p>
    <w:p w14:paraId="083B0413" w14:textId="77777777" w:rsidR="006315D6" w:rsidRDefault="006315D6" w:rsidP="006315D6">
      <w:pPr>
        <w:spacing w:line="360" w:lineRule="auto"/>
      </w:pPr>
    </w:p>
    <w:p w14:paraId="5B17F969" w14:textId="77777777" w:rsidR="006315D6" w:rsidRDefault="006315D6" w:rsidP="006315D6">
      <w:pPr>
        <w:spacing w:line="360" w:lineRule="auto"/>
      </w:pPr>
      <w:r>
        <w:t>The thermodynamic equilibrium of the reaction favors the production of bicarbonate (HCO</w:t>
      </w:r>
      <w:r w:rsidRPr="00764954">
        <w:rPr>
          <w:vertAlign w:val="subscript"/>
        </w:rPr>
        <w:t>3</w:t>
      </w:r>
      <w:r w:rsidRPr="00764954">
        <w:rPr>
          <w:vertAlign w:val="superscript"/>
        </w:rPr>
        <w:t>-</w:t>
      </w:r>
      <w:r>
        <w:t>) and hydrogen ions (H</w:t>
      </w:r>
      <w:r w:rsidRPr="00764954">
        <w:rPr>
          <w:vertAlign w:val="superscript"/>
        </w:rPr>
        <w:t>+</w:t>
      </w:r>
      <w:r>
        <w:t>), and results in a lower saturation state (</w:t>
      </w:r>
      <w:r>
        <w:rPr>
          <w:rFonts w:ascii="Cambria" w:hAnsi="Cambria"/>
        </w:rPr>
        <w:t>Ω</w:t>
      </w:r>
      <w:r>
        <w:t>) for carbonate ion (CO</w:t>
      </w:r>
      <w:r w:rsidRPr="00764954">
        <w:rPr>
          <w:vertAlign w:val="subscript"/>
        </w:rPr>
        <w:t>3</w:t>
      </w:r>
      <w:r w:rsidRPr="00764954">
        <w:rPr>
          <w:vertAlign w:val="superscript"/>
        </w:rPr>
        <w:t>2-</w:t>
      </w:r>
      <w:r>
        <w:t>).  Since pH is negatively correlated with concentration of H</w:t>
      </w:r>
      <w:r w:rsidRPr="00764954">
        <w:rPr>
          <w:vertAlign w:val="superscript"/>
        </w:rPr>
        <w:t>+</w:t>
      </w:r>
      <w:r>
        <w:t xml:space="preserve"> in solution, this reaction is directly responsible for lower oceanic pH.  Additionally, the lower </w:t>
      </w:r>
      <w:r>
        <w:rPr>
          <w:rFonts w:ascii="Cambria" w:hAnsi="Cambria"/>
        </w:rPr>
        <w:t>Ω</w:t>
      </w:r>
      <w:r>
        <w:t xml:space="preserve"> creates a less favorable environment for maintaining and creating calcified structures.</w:t>
      </w:r>
    </w:p>
    <w:p w14:paraId="1B7D3128" w14:textId="199BF298" w:rsidR="006315D6" w:rsidRPr="006315D6" w:rsidRDefault="006315D6" w:rsidP="006315D6">
      <w:pPr>
        <w:spacing w:line="360" w:lineRule="auto"/>
      </w:pPr>
      <w:r>
        <w:tab/>
        <w:t>Certain ions in ocean water are contributors to total alkalinity (A</w:t>
      </w:r>
      <w:r w:rsidRPr="00ED6F22">
        <w:rPr>
          <w:vertAlign w:val="subscript"/>
        </w:rPr>
        <w:t>T</w:t>
      </w:r>
      <w:r>
        <w:t xml:space="preserve">), which </w:t>
      </w:r>
      <w:r w:rsidR="00357B4F">
        <w:t>contributes to buffering</w:t>
      </w:r>
      <w:r>
        <w:t xml:space="preserve"> changes in pH.  Total alkalinity represents a balance between H</w:t>
      </w:r>
      <w:r w:rsidRPr="00C15AFD">
        <w:rPr>
          <w:vertAlign w:val="superscript"/>
        </w:rPr>
        <w:t>+</w:t>
      </w:r>
      <w:r>
        <w:t xml:space="preserve"> donors and acceptors in water and the greater A</w:t>
      </w:r>
      <w:r w:rsidRPr="00B0476F">
        <w:rPr>
          <w:vertAlign w:val="subscript"/>
        </w:rPr>
        <w:t>T</w:t>
      </w:r>
      <w:r>
        <w:t xml:space="preserve"> in a body of water, the greater its ability to mitigate changes in pH.  Thus, different geographic areas with different A</w:t>
      </w:r>
      <w:r w:rsidRPr="00B0476F">
        <w:rPr>
          <w:vertAlign w:val="subscript"/>
        </w:rPr>
        <w:t>T</w:t>
      </w:r>
      <w:r>
        <w:t xml:space="preserve"> – which can change according to riverine inputs, biological activity, weathering of rocks, etc. – will experience different degrees of ocean acidification.  On a global scale, however, the trend is towards lower pH.  The equilibration of anthropogenic CO</w:t>
      </w:r>
      <w:r w:rsidRPr="00B0476F">
        <w:rPr>
          <w:vertAlign w:val="subscript"/>
        </w:rPr>
        <w:t>2</w:t>
      </w:r>
      <w:r>
        <w:t xml:space="preserve"> is increasing the total inorganic carbon (DIC) shifting the relative amounts DIC and A</w:t>
      </w:r>
      <w:r w:rsidRPr="00B0476F">
        <w:rPr>
          <w:vertAlign w:val="subscript"/>
        </w:rPr>
        <w:t>T</w:t>
      </w:r>
      <w:r>
        <w:t xml:space="preserve"> and contributing to CaCO</w:t>
      </w:r>
      <w:r w:rsidRPr="00B0476F">
        <w:rPr>
          <w:vertAlign w:val="subscript"/>
        </w:rPr>
        <w:t>3</w:t>
      </w:r>
      <w:r>
        <w:t xml:space="preserve"> undersaturated waters at shallower depths </w:t>
      </w:r>
      <w:r>
        <w:fldChar w:fldCharType="begin" w:fldLock="1"/>
      </w:r>
      <w: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fldChar w:fldCharType="separate"/>
      </w:r>
      <w:r w:rsidRPr="00383060">
        <w:rPr>
          <w:noProof/>
        </w:rPr>
        <w:t>(Feely et al., 2004, 2012)</w:t>
      </w:r>
      <w:r>
        <w:fldChar w:fldCharType="end"/>
      </w:r>
      <w:r>
        <w:t>.  Changes in A</w:t>
      </w:r>
      <w:r w:rsidRPr="00B0476F">
        <w:rPr>
          <w:vertAlign w:val="subscript"/>
        </w:rPr>
        <w:t>T</w:t>
      </w:r>
      <w:r>
        <w:t xml:space="preserve"> based on the natural global carbon cycle (i.e. input from weathering on continents and removal through burial in ocean sediment) occur on the scale of thousands of years </w:t>
      </w:r>
      <w:r>
        <w:fldChar w:fldCharType="begin" w:fldLock="1"/>
      </w:r>
      <w:r>
        <w:instrText>ADDIN CSL_CITATION { "citationItems" : [ { "id" : "ITEM-1", "itemData" : { "DOI" : "10.1146/annurev-earth-042711-105521", "ISSN" : "0084-6597", "author" : [ { "dropping-particle" : "", "family" : "Zeebe", "given" : "Richard E.", "non-dropping-particle" : "", "parse-names" : false, "suffix" : "" } ], "container-title" : "Annual Review of Earth and Planetary Sciences", "id" : "ITEM-1", "issue" : "1", "issued" : { "date-parts" : [ [ "2012", "5", "30" ] ] }, "page" : "141-165", "title" : "History of Seawater Carbonate Chemistry, Atmospheric CO 2 , and Ocean Acidification", "type" : "article-journal", "volume" : "40" }, "uris" : [ "http://www.mendeley.com/documents/?uuid=28ebc31b-4cfc-4437-9e47-309672ede975" ] } ], "mendeley" : { "previouslyFormattedCitation" : "(Zeebe, 2012)" }, "properties" : { "noteIndex" : 0 }, "schema" : "https://github.com/citation-style-language/schema/raw/master/csl-citation.json" }</w:instrText>
      </w:r>
      <w:r>
        <w:fldChar w:fldCharType="separate"/>
      </w:r>
      <w:r w:rsidRPr="00383060">
        <w:rPr>
          <w:noProof/>
        </w:rPr>
        <w:t>(Zeebe, 2012)</w:t>
      </w:r>
      <w:r>
        <w:fldChar w:fldCharType="end"/>
      </w:r>
      <w:r>
        <w:t xml:space="preserve">, much longer than the current carbonate chemistry changes.  Additionally, elevated </w:t>
      </w:r>
      <w:r w:rsidRPr="00B0476F">
        <w:rPr>
          <w:i/>
        </w:rPr>
        <w:t>p</w:t>
      </w:r>
      <w:r>
        <w:t>CO</w:t>
      </w:r>
      <w:r w:rsidRPr="00B0476F">
        <w:rPr>
          <w:vertAlign w:val="subscript"/>
        </w:rPr>
        <w:t>2</w:t>
      </w:r>
      <w:r>
        <w:t xml:space="preserve"> can change the buffering capacities of estuarine areas where fresh river water flows into the ocean </w:t>
      </w:r>
      <w:r>
        <w:fldChar w:fldCharType="begin" w:fldLock="1"/>
      </w:r>
      <w:r>
        <w:instrText>ADDIN CSL_CITATION { "citationItems" : [ { "id" : "ITEM-1", "itemData" : { "DOI" : "10.1002/grl.51000", "ISSN" : "00948276", "author" : [ { "dropping-particle" : "", "family" : "Hu", "given" : "Xinping", "non-dropping-particle" : "", "parse-names" : false, "suffix" : "" }, { "dropping-particle" : "", "family" : "Cai", "given" : "Wei-Jun", "non-dropping-particle" : "", "parse-names" : false, "suffix" : "" } ], "container-title" : "Geophysical Research Letters", "id" : "ITEM-1", "issue" : "19", "issued" : { "date-parts" : [ [ "2013", "10", "16" ] ] }, "page" : "5176-5181", "title" : "Estuarine acidification and minimum buffer zone-A conceptual study", "type" : "article-journal", "volume" : "40" }, "uris" : [ "http://www.mendeley.com/documents/?uuid=cbd0b972-b8ec-4d8d-9224-1ee1a6a87c6f" ] } ], "mendeley" : { "manualFormatting" : "(Hu and Cai, 2013)", "previouslyFormattedCitation" : "(Hu &amp; Cai, 2013)" }, "properties" : { "noteIndex" : 0 }, "schema" : "https://github.com/citation-style-language/schema/raw/master/csl-citation.json" }</w:instrText>
      </w:r>
      <w:r>
        <w:fldChar w:fldCharType="separate"/>
      </w:r>
      <w:r>
        <w:rPr>
          <w:noProof/>
        </w:rPr>
        <w:t>(Hu and</w:t>
      </w:r>
      <w:r w:rsidRPr="00383060">
        <w:rPr>
          <w:noProof/>
        </w:rPr>
        <w:t xml:space="preserve"> Cai, 2013)</w:t>
      </w:r>
      <w:r>
        <w:fldChar w:fldCharType="end"/>
      </w:r>
      <w:r>
        <w:t>.  Due to the current accelerated timescale of CO</w:t>
      </w:r>
      <w:r w:rsidRPr="00C15AFD">
        <w:rPr>
          <w:vertAlign w:val="subscript"/>
        </w:rPr>
        <w:t>2</w:t>
      </w:r>
      <w:r>
        <w:t xml:space="preserve"> input into the oceans, pH changes will continue largely unchecked by natural processes that have moderated fluctuations in the past.</w:t>
      </w:r>
    </w:p>
    <w:p w14:paraId="1FB8D513" w14:textId="77777777" w:rsidR="00C02D9B" w:rsidRDefault="00C02D9B" w:rsidP="00C02D9B">
      <w:pPr>
        <w:pStyle w:val="Heading3"/>
      </w:pPr>
      <w:bookmarkStart w:id="8" w:name="_Toc252109973"/>
      <w:r>
        <w:t>Nearshore environmental processes</w:t>
      </w:r>
      <w:bookmarkEnd w:id="8"/>
    </w:p>
    <w:p w14:paraId="20DA15AA" w14:textId="77777777" w:rsidR="00D92FB6" w:rsidRPr="00D92FB6" w:rsidRDefault="00D92FB6" w:rsidP="00D92FB6"/>
    <w:p w14:paraId="5955135A" w14:textId="35FF9F9F" w:rsidR="006315D6" w:rsidRDefault="006315D6" w:rsidP="006315D6">
      <w:pPr>
        <w:spacing w:line="360" w:lineRule="auto"/>
        <w:ind w:firstLine="720"/>
      </w:pPr>
      <w:proofErr w:type="gramStart"/>
      <w:r>
        <w:t xml:space="preserve">Oceanic pH is affected by many other processes in addition to atmospheric </w:t>
      </w:r>
      <w:r w:rsidRPr="00C15AFD">
        <w:rPr>
          <w:i/>
        </w:rPr>
        <w:t>p</w:t>
      </w:r>
      <w:r>
        <w:t>CO</w:t>
      </w:r>
      <w:r w:rsidRPr="00B0476F">
        <w:rPr>
          <w:vertAlign w:val="subscript"/>
        </w:rPr>
        <w:t>2</w:t>
      </w:r>
      <w:proofErr w:type="gramEnd"/>
      <w:r>
        <w:t xml:space="preserve">.  Especially in the relatively shallow and productive nearshore environment, many physical and biological processes contribute to fluctuations in pH on a variety of timescales (i.e. </w:t>
      </w:r>
      <w:r>
        <w:fldChar w:fldCharType="begin" w:fldLock="1"/>
      </w:r>
      <w:r>
        <w:instrText>ADDIN CSL_CITATION { "citationItems" : [ { "id" : "ITEM-1", "itemData" : { "DOI" : "10.1016/j.csr.2012.06.009", "ISSN" : "02784343", "author" : [ { "dropping-particle" : "", "family" : "Booth", "given" : "J. Ashley T.", "non-dropping-particle" : "", "parse-names" : false, "suffix" : "" }, { "dropping-particle" : "", "family" : "McPhee-Shaw", "given" : "Erika E.", "non-dropping-particle" : "", "parse-names" : false, "suffix" : "" }, { "dropping-particle" : "", "family" : "Chua", "given" : "Paul", "non-dropping-particle" : "", "parse-names" : false, "suffix" : "" }, { "dropping-particle" : "", "family" : "Kingsley", "given" : "Eric", "non-dropping-particle" : "", "parse-names" : false, "suffix" : "" }, { "dropping-particle" : "", "family" : "Denny", "given" : "Mark", "non-dropping-particle" : "", "parse-names" : false, "suffix" : "" }, { "dropping-particle" : "", "family" : "Phillips", "given" : "Roger", "non-dropping-particle" : "", "parse-names" : false, "suffix" : "" }, { "dropping-particle" : "", "family" : "Bograd", "given" : "Steven J.", "non-dropping-particle" : "", "parse-names" : false, "suffix" : "" }, { "dropping-particle" : "", "family" : "Zeidberg", "given" : "Louis D.", "non-dropping-particle" : "", "parse-names" : false, "suffix" : "" }, { "dropping-particle" : "", "family" : "Gilly", "given" : "William F.", "non-dropping-particle" : "", "parse-names" : false, "suffix" : "" } ], "container-title" : "Continental Shelf Research", "id" : "ITEM-1", "issued" : { "date-parts" : [ [ "2012", "8" ] ] }, "page" : "108-115", "publisher" : "Elsevier", "title" : "Natural intrusions of hypoxic, low pH water into nearshore marine environments on the California coast", "type" : "article-journal", "volume" : "45" }, "uris" : [ "http://www.mendeley.com/documents/?uuid=6a41fcac-3df8-42ec-89ed-9ad1c785a1ef" ] } ], "mendeley" : { "manualFormatting" : "Booth et al., 2012)", "previouslyFormattedCitation" : "(Booth et al., 2012)" }, "properties" : { "noteIndex" : 0 }, "schema" : "https://github.com/citation-style-language/schema/raw/master/csl-citation.json" }</w:instrText>
      </w:r>
      <w:r>
        <w:fldChar w:fldCharType="separate"/>
      </w:r>
      <w:r w:rsidRPr="00383060">
        <w:rPr>
          <w:noProof/>
        </w:rPr>
        <w:t>Booth et al., 2012)</w:t>
      </w:r>
      <w:r>
        <w:fldChar w:fldCharType="end"/>
      </w:r>
      <w:r>
        <w:t>.  In upwelling zones along the coast, cold, CO</w:t>
      </w:r>
      <w:r w:rsidRPr="00B0476F">
        <w:rPr>
          <w:vertAlign w:val="subscript"/>
        </w:rPr>
        <w:t>2</w:t>
      </w:r>
      <w:r>
        <w:t>-rich water can be pulled into productive areas as surface water is displaced.  Upwelling represents a relatively transient yet strong signal in terms of pH fluctuations.  In the California Current System, upwelling events bring water with aragonite saturation state of less than 2 into the nearshore environment for most of the spring, summer, and fall (</w:t>
      </w:r>
      <w:r w:rsidR="00463F94" w:rsidRPr="005643FD">
        <w:t>Hauri</w:t>
      </w:r>
      <w:r w:rsidRPr="005643FD">
        <w:t xml:space="preserve"> et al. 2009</w:t>
      </w:r>
      <w:r>
        <w:t xml:space="preserve">).  Greenhouse gases cause </w:t>
      </w:r>
      <w:proofErr w:type="gramStart"/>
      <w:r>
        <w:t>land masses</w:t>
      </w:r>
      <w:proofErr w:type="gramEnd"/>
      <w:r>
        <w:t xml:space="preserve"> to warm more than the ocean, creating a low pressure cell over coastal areas.  These low pressure cells increase wind strength and upwelling intensity, thereby augmenting a global trend towards winds favoring upwelling conditions </w:t>
      </w:r>
      <w:r>
        <w:fldChar w:fldCharType="begin" w:fldLock="1"/>
      </w:r>
      <w:r>
        <w:instrText>ADDIN CSL_CITATION { "citationItems" : [ { "id" : "ITEM-1", "itemData" : { "DOI" : "10.1111/j.1365-2486.2009.02094.x", "ISSN" : "13541013", "author" : [ { "dropping-particle" : "", "family" : "Bakun", "given" : "Andrew", "non-dropping-particle" : "", "parse-names" : false, "suffix" : "" }, { "dropping-particle" : "", "family" : "Field", "given" : "David B.", "non-dropping-particle" : "", "parse-names" : false, "suffix" : "" }, { "dropping-particle" : "", "family" : "Redondo-Rodriguez", "given" : "Ana", "non-dropping-particle" : "", "parse-names" : false, "suffix" : "" }, { "dropping-particle" : "", "family" : "Weeks", "given" : "Scarla J.", "non-dropping-particle" : "", "parse-names" : false, "suffix" : "" } ], "container-title" : "Global Change Biology", "id" : "ITEM-1", "issue" : "4", "issued" : { "date-parts" : [ [ "2010", "4" ] ] }, "page" : "1213-1228", "title" : "Greenhouse gas, upwelling-favorable winds, and the future of coastal ocean upwelling ecosystems", "type" : "article-journal", "volume" : "16" }, "uris" : [ "http://www.mendeley.com/documents/?uuid=288ceedc-7caf-4133-a223-4081bf4e6fc5" ] } ], "mendeley" : { "manualFormatting" : "(Bakun et al., 2010)", "previouslyFormattedCitation" : "(Bakun, Field, Redondo-Rodriguez, &amp; Weeks, 2010)" }, "properties" : { "noteIndex" : 0 }, "schema" : "https://github.com/citation-style-language/schema/raw/master/csl-citation.json" }</w:instrText>
      </w:r>
      <w:r>
        <w:fldChar w:fldCharType="separate"/>
      </w:r>
      <w:r>
        <w:rPr>
          <w:noProof/>
        </w:rPr>
        <w:t>(Bakun et al.</w:t>
      </w:r>
      <w:r w:rsidRPr="00383060">
        <w:rPr>
          <w:noProof/>
        </w:rPr>
        <w:t>, 2010)</w:t>
      </w:r>
      <w:r>
        <w:fldChar w:fldCharType="end"/>
      </w:r>
      <w:r>
        <w:t xml:space="preserve">.  Local hatcheries on the Pacific coast of the United States have linked larval mortalities and decreased production with upwelling events </w:t>
      </w:r>
      <w:r>
        <w:fldChar w:fldCharType="begin" w:fldLock="1"/>
      </w:r>
      <w: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"(Barton et al., 2012)", "previouslyFormattedCitation" : "(Barton, Hales, Waldbusser, Langdon, &amp; Feely, 2012)" }, "properties" : { "noteIndex" : 0 }, "schema" : "https://github.com/citation-style-language/schema/raw/master/csl-citation.json" }</w:instrText>
      </w:r>
      <w:r>
        <w:fldChar w:fldCharType="separate"/>
      </w:r>
      <w:r>
        <w:rPr>
          <w:noProof/>
        </w:rPr>
        <w:t>(Barton et al.</w:t>
      </w:r>
      <w:r w:rsidRPr="00383060">
        <w:rPr>
          <w:noProof/>
        </w:rPr>
        <w:t>, 2012)</w:t>
      </w:r>
      <w:r>
        <w:fldChar w:fldCharType="end"/>
      </w:r>
      <w:r>
        <w:t xml:space="preserve"> and have consequently changed their hatchery practices to avoid upwelled water.</w:t>
      </w:r>
    </w:p>
    <w:p w14:paraId="31BEFE34" w14:textId="2FD45284" w:rsidR="006315D6" w:rsidRPr="006315D6" w:rsidRDefault="006315D6" w:rsidP="006315D6">
      <w:pPr>
        <w:spacing w:line="360" w:lineRule="auto"/>
      </w:pPr>
      <w:r>
        <w:tab/>
        <w:t>The relatively high productivity of nearshore environments can lead to a strong CO</w:t>
      </w:r>
      <w:r w:rsidRPr="00B0476F">
        <w:rPr>
          <w:vertAlign w:val="subscript"/>
        </w:rPr>
        <w:t>2</w:t>
      </w:r>
      <w:r>
        <w:t xml:space="preserve"> signal from respiration and photosynthesis occurring on a more short-term cycle (daily to seasonal).  Photosynthesis, respiration, and calcification can change absolute and relative amounts of CO</w:t>
      </w:r>
      <w:r w:rsidRPr="00B0476F">
        <w:rPr>
          <w:vertAlign w:val="subscript"/>
        </w:rPr>
        <w:t>2</w:t>
      </w:r>
      <w:r>
        <w:t xml:space="preserve"> species </w:t>
      </w:r>
      <w:r>
        <w:fldChar w:fldCharType="begin" w:fldLock="1"/>
      </w:r>
      <w:r>
        <w:instrText>ADDIN CSL_CITATION { "citationItems" : [ { "id" : "ITEM-1", "itemData" : { "author" : [ { "dropping-particle" : "V", "family" : "Smith", "given" : "Author S", "non-dropping-particle" : "", "parse-names" : false, "suffix" : "" }, { "dropping-particle" : "", "family" : "Key", "given" : "G S", "non-dropping-particle" : "", "parse-names" : false, "suffix" : "" } ], "id" : "ITEM-1", "issue" : "3", "issued" : { "date-parts" : [ [ "1975" ] ] }, "page" : "493-495", "title" : "Carbon Dioxide and Metabolism in Marine Environments", "type" : "article-journal", "volume" : "20" }, "uris" : [ "http://www.mendeley.com/documents/?uuid=d8027b9e-3642-4b78-bb3a-b6b0a86a70e1" ] } ], "mendeley" : { "manualFormatting" : "(Smith and Key, 1975)", "previouslyFormattedCitation" : "(Smith &amp; Key, 1975)" }, "properties" : { "noteIndex" : 0 }, "schema" : "https://github.com/citation-style-language/schema/raw/master/csl-citation.json" }</w:instrText>
      </w:r>
      <w:r>
        <w:fldChar w:fldCharType="separate"/>
      </w:r>
      <w:r>
        <w:rPr>
          <w:noProof/>
        </w:rPr>
        <w:t>(Smith and</w:t>
      </w:r>
      <w:r w:rsidRPr="00383060">
        <w:rPr>
          <w:noProof/>
        </w:rPr>
        <w:t xml:space="preserve"> Key, 1975)</w:t>
      </w:r>
      <w:r>
        <w:fldChar w:fldCharType="end"/>
      </w:r>
      <w:r>
        <w:t>.  Photosynthesis and calcification decrease the amounts of CO</w:t>
      </w:r>
      <w:r w:rsidRPr="00B0476F">
        <w:rPr>
          <w:vertAlign w:val="subscript"/>
        </w:rPr>
        <w:t>2</w:t>
      </w:r>
      <w:r>
        <w:t xml:space="preserve"> in seawater while respiration and dissolution of calcified structures increase CO</w:t>
      </w:r>
      <w:r w:rsidRPr="00B0476F">
        <w:rPr>
          <w:vertAlign w:val="subscript"/>
        </w:rPr>
        <w:t>2</w:t>
      </w:r>
      <w:r>
        <w:t xml:space="preserve"> </w:t>
      </w:r>
      <w:r>
        <w:fldChar w:fldCharType="begin" w:fldLock="1"/>
      </w:r>
      <w:r>
        <w:instrText>ADDIN CSL_CITATION { "citationItems" : [ { "id" : "ITEM-1", "itemData" : { "author" : [ { "dropping-particle" : "V", "family" : "Smith", "given" : "Author S", "non-dropping-particle" : "", "parse-names" : false, "suffix" : "" }, { "dropping-particle" : "", "family" : "Key", "given" : "G S", "non-dropping-particle" : "", "parse-names" : false, "suffix" : "" } ], "id" : "ITEM-1", "issue" : "3", "issued" : { "date-parts" : [ [ "1975" ] ] }, "page" : "493-495", "title" : "Carbon Dioxide and Metabolism in Marine Environments", "type" : "article-journal", "volume" : "20" }, "uris" : [ "http://www.mendeley.com/documents/?uuid=d8027b9e-3642-4b78-bb3a-b6b0a86a70e1" ] } ], "mendeley" : { "manualFormatting" : "(Smith and Key, 1975)", "previouslyFormattedCitation" : "(Smith &amp; Key, 1975)" }, "properties" : { "noteIndex" : 0 }, "schema" : "https://github.com/citation-style-language/schema/raw/master/csl-citation.json" }</w:instrText>
      </w:r>
      <w:r>
        <w:fldChar w:fldCharType="separate"/>
      </w:r>
      <w:r>
        <w:rPr>
          <w:noProof/>
        </w:rPr>
        <w:t>(Smith and</w:t>
      </w:r>
      <w:r w:rsidRPr="00383060">
        <w:rPr>
          <w:noProof/>
        </w:rPr>
        <w:t xml:space="preserve"> Key, 1975)</w:t>
      </w:r>
      <w:r>
        <w:fldChar w:fldCharType="end"/>
      </w:r>
      <w:r>
        <w:t>.   Since upwelled waters typically contain high amounts of nutrients they tend to stimulate production in the nearshore environment.  During upwelling, changes in nearshore DIC occur mostly from organic matter production and respiration and CaCO</w:t>
      </w:r>
      <w:r w:rsidRPr="00B0476F">
        <w:rPr>
          <w:vertAlign w:val="subscript"/>
        </w:rPr>
        <w:t>3</w:t>
      </w:r>
      <w:r>
        <w:t xml:space="preserve"> dissolution </w:t>
      </w:r>
      <w:r>
        <w:fldChar w:fldCharType="begin" w:fldLock="1"/>
      </w:r>
      <w:r>
        <w:instrText>ADDIN CSL_CITATION { "citationItems" : [ { "id" : "ITEM-1", "itemData" : { "DOI" : "10.1016/j.csr.2011.04.006", "ISSN" : "02784343", "author" : [ { "dropping-particle" : "", "family" : "Fassbender", "given" : "Andrea J.", "non-dropping-particle" : "", "parse-names" : false, "suffix" : "" }, { "dropping-particle" : "", "family" : "Sabine", "given" : "Christopher L.", "non-dropping-particle" : "", "parse-names" : false, "suffix" : "" }, { "dropping-particle" : "", "family" : "Feely", "given" : "Richard a.", "non-dropping-particle" : "", "parse-names" : false, "suffix" : "" }, { "dropping-particle" : "", "family" : "Langdon", "given" : "Chris", "non-dropping-particle" : "", "parse-names" : false, "suffix" : "" }, { "dropping-particle" : "", "family" : "Mordy", "given" : "Calvin W.", "non-dropping-particle" : "", "parse-names" : false, "suffix" : "" } ], "container-title" : "Continental Shelf Research", "id" : "ITEM-1", "issue" : "11", "issued" : { "date-parts" : [ [ "2011", "8" ] ] }, "page" : "1180-1192", "publisher" : "Elsevier", "title" : "Inorganic carbon dynamics during northern California coastal upwelling", "type" : "article-journal", "volume" : "31" }, "uris" : [ "http://www.mendeley.com/documents/?uuid=141366a8-af98-4eaf-a7e5-33004d7cfc29" ] } ], "mendeley" : { "manualFormatting" : "(Fassbender et al., 2011)", "previouslyFormattedCitation" : "(Fassbender, Sabine, Feely, Langdon, &amp; Mordy, 2011)" }, "properties" : { "noteIndex" : 0 }, "schema" : "https://github.com/citation-style-language/schema/raw/master/csl-citation.json" }</w:instrText>
      </w:r>
      <w:r>
        <w:fldChar w:fldCharType="separate"/>
      </w:r>
      <w:r>
        <w:rPr>
          <w:noProof/>
        </w:rPr>
        <w:t>(Fassbender et al.</w:t>
      </w:r>
      <w:r w:rsidRPr="00383060">
        <w:rPr>
          <w:noProof/>
        </w:rPr>
        <w:t>, 2011)</w:t>
      </w:r>
      <w:r>
        <w:fldChar w:fldCharType="end"/>
      </w:r>
      <w:r>
        <w:t xml:space="preserve">.  As anthropogenic carbon inputs change the baseline of </w:t>
      </w:r>
      <w:r w:rsidRPr="00B0476F">
        <w:rPr>
          <w:i/>
        </w:rPr>
        <w:t>p</w:t>
      </w:r>
      <w:r>
        <w:t>CO</w:t>
      </w:r>
      <w:r w:rsidRPr="00B0476F">
        <w:rPr>
          <w:vertAlign w:val="subscript"/>
        </w:rPr>
        <w:t>2</w:t>
      </w:r>
      <w:r>
        <w:t xml:space="preserve"> in seawater, these natural processes could contribute to making the overall </w:t>
      </w:r>
      <w:r w:rsidRPr="00B0476F">
        <w:rPr>
          <w:i/>
        </w:rPr>
        <w:t>p</w:t>
      </w:r>
      <w:r>
        <w:t>CO</w:t>
      </w:r>
      <w:r w:rsidRPr="00B0476F">
        <w:rPr>
          <w:vertAlign w:val="subscript"/>
        </w:rPr>
        <w:t>2</w:t>
      </w:r>
      <w:r>
        <w:t xml:space="preserve"> even lower than predicted.</w:t>
      </w:r>
    </w:p>
    <w:p w14:paraId="10D2FF5D" w14:textId="77777777" w:rsidR="00DF70F0" w:rsidRDefault="00C02D9B" w:rsidP="00C02D9B">
      <w:pPr>
        <w:pStyle w:val="Heading3"/>
      </w:pPr>
      <w:bookmarkStart w:id="9" w:name="_Toc252109974"/>
      <w:r>
        <w:t>Ocean acidification in Puget Sound</w:t>
      </w:r>
      <w:bookmarkEnd w:id="9"/>
    </w:p>
    <w:p w14:paraId="697DE1DD" w14:textId="77777777" w:rsidR="00D92FB6" w:rsidRPr="00D92FB6" w:rsidRDefault="00D92FB6" w:rsidP="00D92FB6"/>
    <w:p w14:paraId="54C83020" w14:textId="1EEB19BD" w:rsidR="006315D6" w:rsidRPr="006315D6" w:rsidRDefault="006315D6" w:rsidP="006315D6">
      <w:pPr>
        <w:spacing w:line="360" w:lineRule="auto"/>
        <w:ind w:firstLine="720"/>
      </w:pPr>
      <w:r>
        <w:t xml:space="preserve">Puget Sound, WA and other similar bodies of water have hydrographies that contribute to variability in pH.  Puget Sound is a semi-enclosed, urban estuary bordered by approximately 4.1 million people (U.S. Census Bureau, 2012 estimates).  Puget Sound is subject to low transport/high water residence times in some basins </w:t>
      </w:r>
      <w:r>
        <w:fldChar w:fldCharType="begin" w:fldLock="1"/>
      </w:r>
      <w:r>
        <w:instrText>ADDIN CSL_CITATION { "citationItems" : [ { "id" : "ITEM-1", "itemData" : { "DOI" : "10.3137/ao.440103", "ISSN" : "0705-5900", "author" : [ { "dropping-particle" : "", "family" : "Babson", "given" : "a. L.", "non-dropping-particle" : "", "parse-names" : false, "suffix" : "" }, { "dropping-particle" : "", "family" : "Kawase", "given" : "M.", "non-dropping-particle" : "", "parse-names" : false, "suffix" : "" }, { "dropping-particle" : "", "family" : "MacCready", "given" : "P.", "non-dropping-particle" : "", "parse-names" : false, "suffix" : "" } ], "container-title" : "Atmosphere-Ocean", "id" : "ITEM-1", "issue" : "1", "issued" : { "date-parts" : [ [ "2006", "3" ] ] }, "page" : "29-45", "title" : "Seasonal and interannual variability in the circulation of Puget Sound, Washington: A box model study", "type" : "article-journal", "volume" : "44" }, "uris" : [ "http://www.mendeley.com/documents/?uuid=e4ceec7c-d0a0-457b-8a37-44138a05284f" ] } ], "mendeley" : { "manualFormatting" : "(Babson et al., 2006)", "previouslyFormattedCitation" : "(Babson, Kawase, &amp; MacCready, 2006)" }, "properties" : { "noteIndex" : 0 }, "schema" : "https://github.com/citation-style-language/schema/raw/master/csl-citation.json" }</w:instrText>
      </w:r>
      <w:r>
        <w:fldChar w:fldCharType="separate"/>
      </w:r>
      <w:r>
        <w:rPr>
          <w:noProof/>
        </w:rPr>
        <w:t>(Babson et al.</w:t>
      </w:r>
      <w:r w:rsidRPr="00383060">
        <w:rPr>
          <w:noProof/>
        </w:rPr>
        <w:t>, 2006)</w:t>
      </w:r>
      <w:r>
        <w:fldChar w:fldCharType="end"/>
      </w:r>
      <w:r>
        <w:t xml:space="preserve">, which can exacerbate low pH and low oxygen events.  This pattern of hydrography results in relatively shallow low pH events in the summer months, especially in southern Hood Canal where the longest residence times are found </w:t>
      </w:r>
      <w:r>
        <w:fldChar w:fldCharType="begin" w:fldLock="1"/>
      </w:r>
      <w: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fldChar w:fldCharType="separate"/>
      </w:r>
      <w:r w:rsidRPr="00383060">
        <w:rPr>
          <w:noProof/>
        </w:rPr>
        <w:t>(Feely et al., 2010)</w:t>
      </w:r>
      <w:r>
        <w:fldChar w:fldCharType="end"/>
      </w:r>
      <w:r>
        <w:t xml:space="preserve">.  The major contributors to these pH fluctuations are natural processes, however elevated atmospheric </w:t>
      </w:r>
      <w:r w:rsidRPr="00B0476F">
        <w:rPr>
          <w:i/>
        </w:rPr>
        <w:t>p</w:t>
      </w:r>
      <w:r>
        <w:t>CO</w:t>
      </w:r>
      <w:r w:rsidRPr="00B0476F">
        <w:rPr>
          <w:vertAlign w:val="subscript"/>
        </w:rPr>
        <w:t>2</w:t>
      </w:r>
      <w:r>
        <w:t xml:space="preserve"> has also contributed to an overall decrease in pH in the Sound </w:t>
      </w:r>
      <w:r>
        <w:fldChar w:fldCharType="begin" w:fldLock="1"/>
      </w:r>
      <w: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fldChar w:fldCharType="separate"/>
      </w:r>
      <w:r w:rsidRPr="00383060">
        <w:rPr>
          <w:noProof/>
        </w:rPr>
        <w:t>(Feely et al., 2010)</w:t>
      </w:r>
      <w:r>
        <w:fldChar w:fldCharType="end"/>
      </w:r>
      <w:r>
        <w:t>.</w:t>
      </w:r>
    </w:p>
    <w:p w14:paraId="099B54E0" w14:textId="77777777" w:rsidR="00C02D9B" w:rsidRDefault="00C02D9B" w:rsidP="00C02D9B">
      <w:pPr>
        <w:pStyle w:val="Heading2"/>
      </w:pPr>
      <w:bookmarkStart w:id="10" w:name="_Toc252109975"/>
      <w:r>
        <w:t>Implications for bivalves</w:t>
      </w:r>
      <w:bookmarkEnd w:id="10"/>
    </w:p>
    <w:p w14:paraId="5968B44F" w14:textId="77777777" w:rsidR="00D92FB6" w:rsidRPr="00D92FB6" w:rsidRDefault="00D92FB6" w:rsidP="00D92FB6"/>
    <w:p w14:paraId="0819B72D" w14:textId="77777777" w:rsidR="006315D6" w:rsidRDefault="006315D6" w:rsidP="006315D6">
      <w:pPr>
        <w:spacing w:line="360" w:lineRule="auto"/>
        <w:ind w:firstLine="720"/>
      </w:pPr>
      <w:r>
        <w:t xml:space="preserve">Bivalves and many other aquatic invertebrates have proven to be sensitive to acute exposures to elevated </w:t>
      </w:r>
      <w:r w:rsidRPr="00F16C0A">
        <w:rPr>
          <w:i/>
        </w:rPr>
        <w:t>p</w:t>
      </w:r>
      <w:r>
        <w:t>CO</w:t>
      </w:r>
      <w:r w:rsidRPr="00F16C0A">
        <w:rPr>
          <w:vertAlign w:val="subscript"/>
        </w:rPr>
        <w:t>2</w:t>
      </w:r>
      <w:r>
        <w:t xml:space="preserve"> across life stages.  It is difficult to make direct comparisons across studies due to differences in exposure time, </w:t>
      </w:r>
      <w:r w:rsidRPr="00F16C0A">
        <w:rPr>
          <w:i/>
        </w:rPr>
        <w:t>p</w:t>
      </w:r>
      <w:r>
        <w:t>CO</w:t>
      </w:r>
      <w:r w:rsidRPr="00F16C0A">
        <w:rPr>
          <w:vertAlign w:val="subscript"/>
        </w:rPr>
        <w:t>2</w:t>
      </w:r>
      <w:r>
        <w:t xml:space="preserve"> level, and, most importantly, ecological and evolutionary history of exposure to low pH events for the source population of study (i.e. </w:t>
      </w:r>
      <w:r>
        <w:fldChar w:fldCharType="begin" w:fldLock="1"/>
      </w:r>
      <w:r>
        <w:instrText>ADDIN CSL_CITATION { "citationItems" : [ { "id" : "ITEM-1", "itemData" : { "DOI" : "10.1111/j.1365-2486.2011.02520.x", "ISSN" : "13541013", "author" : [ { "dropping-particle" : "", "family" : "Parker", "given" : "Laura M.", "non-dropping-particle" : "", "parse-names" : false, "suffix" : "" }, { "dropping-particle" : "", "family" : "Ross", "given" : "Pauline M.", "non-dropping-particle" : "", "parse-names" : false, "suffix" : "" }, { "dropping-particle" : "", "family" : "O'Connor", "given" : "Wayne a.", "non-dropping-particle" : "", "parse-names" : false, "suffix" : "" }, { "dropping-particle" : "", "family" : "Borysko", "given" : "Larissa", "non-dropping-particle" : "", "parse-names" : false, "suffix" : "" }, { "dropping-particle" : "", "family" : "Raftos", "given" : "David a.", "non-dropping-particle" : "", "parse-names" : false, "suffix" : "" }, { "dropping-particle" : "", "family" : "P\u00f6rtner", "given" : "Hans-Otto", "non-dropping-particle" : "", "parse-names" : false, "suffix" : "" } ], "container-title" : "Global Change Biology", "id" : "ITEM-1", "issue" : "1", "issued" : { "date-parts" : [ [ "2012", "1", "27" ] ] }, "page" : "82-92", "title" : "Adult exposure influences offspring response to ocean acidification in oysters", "type" : "article-journal", "volume" : "18" }, "uris" : [ "http://www.mendeley.com/documents/?uuid=18ff7a57-ea25-4e6d-a939-9b2c72179914"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Parker et al., 2012)", "previouslyFormattedCitation" : "(Kelly, Padilla-Gami\u00f1o, &amp; Hofmann, 2013; L. M. Parker et al., 2012)" }, "properties" : { "noteIndex" : 0 }, "schema" : "https://github.com/citation-style-language/schema/raw/master/csl-citation.json" }</w:instrText>
      </w:r>
      <w:r>
        <w:fldChar w:fldCharType="separate"/>
      </w:r>
      <w:r w:rsidRPr="00383060">
        <w:rPr>
          <w:noProof/>
        </w:rPr>
        <w:t>Kelly</w:t>
      </w:r>
      <w:r>
        <w:rPr>
          <w:noProof/>
        </w:rPr>
        <w:t xml:space="preserve"> et al.</w:t>
      </w:r>
      <w:r w:rsidRPr="00383060">
        <w:rPr>
          <w:noProof/>
        </w:rPr>
        <w:t>, 2013; Parker et al., 2012)</w:t>
      </w:r>
      <w:r>
        <w:fldChar w:fldCharType="end"/>
      </w:r>
      <w:r>
        <w:t xml:space="preserve">.  However, generalities of the effects of ocean acidification on bivalves do emerge from these studies.  </w:t>
      </w:r>
    </w:p>
    <w:p w14:paraId="5D94E195" w14:textId="77777777" w:rsidR="006315D6" w:rsidRDefault="006315D6" w:rsidP="006315D6">
      <w:pPr>
        <w:spacing w:line="360" w:lineRule="auto"/>
        <w:ind w:firstLine="720"/>
      </w:pPr>
      <w:r>
        <w:t xml:space="preserve">Bivalve larvae are more sensitive to changes in water chemistry than juveniles and adults, perhaps due to the energetic demands of early growth, calcification, and metamorphosis.  At the phenotypic level, growth and calcification of bivalve larvae are negatively impacted by elevated </w:t>
      </w:r>
      <w:r w:rsidRPr="00F16C0A">
        <w:rPr>
          <w:i/>
        </w:rPr>
        <w:t>p</w:t>
      </w:r>
      <w:r>
        <w:t>CO</w:t>
      </w:r>
      <w:r w:rsidRPr="00F16C0A">
        <w:rPr>
          <w:vertAlign w:val="subscript"/>
        </w:rPr>
        <w:t>2</w:t>
      </w:r>
      <w:r>
        <w:rPr>
          <w:vertAlign w:val="subscript"/>
        </w:rPr>
        <w:t xml:space="preserve"> </w:t>
      </w:r>
      <w:r>
        <w:fldChar w:fldCharType="begin" w:fldLock="1"/>
      </w:r>
      <w: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"ITEM-2", "itemData" : { "DOI" : "10.1371/journal.pone.0005661", "ISSN" : "1932-6203", "PMID" : "19478855", "abstract" : "BACKGROUND: Human activities have increased atmospheric concentrations of carbon dioxide by 36% during the past 200 years. One third of all anthropogenic CO(2) has been absorbed by the oceans, reducing pH by about 0.1 of a unit and significantly altering their carbonate chemistry. There is widespread concern that these changes are altering marine habitats severely, but little or no attention has been given to the biota of estuarine and coastal settings, ecosystems that are less pH buffered because of naturally reduced alkalinity.\n\nMETHODOLOGY/PRINCIPAL FINDINGS: To address CO(2)-induced changes to estuarine calcification, veliger larvae of two oyster species, the Eastern oyster (Crassostrea virginica), and the Suminoe oyster (Crassostrea ariakensis) were grown in estuarine water under four pCO(2) regimes, 280, 380, 560 and 800 microatm, to simulate atmospheric conditions in the pre-industrial era, present, and projected future concentrations in 50 and 100 years respectively. CO(2) manipulations were made using an automated negative feedback control system that allowed continuous and precise control over the pCO(2) in experimental aquaria. Larval growth was measured using image analysis, and calcification was measured by chemical analysis of calcium in their shells. C. virginica experienced a 16% decrease in shell area and a 42% reduction in calcium content when pre-industrial and end of 21(st) century pCO(2) treatments were compared. C. ariakensis showed no change to either growth or calcification. Both species demonstrated net calcification and growth, even when aragonite was undersaturated, a result that runs counter to previous expectations for invertebrate larvae that produce aragonite shells.\n\nCONCLUSIONS AND SIGNIFICANCE: Our results suggest that temperate estuarine and coastal ecosystems are vulnerable to the expected changes in water chemistry due to elevated atmospheric CO(2) and that biological responses to acidification, especially calcifying biota, will be species-specific and therefore much more variable and complex than reported previously.", "author" : [ { "dropping-particle" : "", "family" : "Miller", "given" : "a Whitman", "non-dropping-particle" : "", "parse-names" : false, "suffix" : "" }, { "dropping-particle" : "", "family" : "Reynolds", "given" : "Amanda C", "non-dropping-particle" : "", "parse-names" : false, "suffix" : "" }, { "dropping-particle" : "", "family" : "Sobrino", "given" : "Cristina", "non-dropping-particle" : "", "parse-names" : false, "suffix" : "" }, { "dropping-particle" : "", "family" : "Riedel", "given" : "Gerhardt F", "non-dropping-particle" : "", "parse-names" : false, "suffix" : "" } ], "container-title" : "PloS one", "id" : "ITEM-2", "issue" : "5", "issued" : { "date-parts" : [ [ "2009", "1" ] ] }, "page" : "e5661", "title" : "Shellfish face uncertain future in high CO2 world: influence of acidification on oyster larvae calcification and growth in estuaries.", "type" : "article-journal", "volume" : "4" }, "uris" : [ "http://www.mendeley.com/documents/?uuid=a864d9e6-056f-4158-8c2c-290c64d29b8f" ] }, { "id" : "ITEM-3",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"ITEM-3",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"id" : "ITEM-4", "itemData" : { "DOI" : "10.3354/meps08809", "ISSN" : "0171-8630", "author" : [ { "dropping-particle" : "", "family" : "Waldbusser", "given" : "Gg", "non-dropping-particle" : "", "parse-names" : false, "suffix" : "" }, { "dropping-particle" : "", "family" : "Bergschneider", "given" : "H", "non-dropping-particle" : "", "parse-names" : false, "suffix" : "" }, { "dropping-particle" : "", "family" : "Green", "given" : "Ma", "non-dropping-particle" : "", "parse-names" : false, "suffix" : "" } ], "container-title" : "Marine Ecology Progress Series", "id" : "ITEM-4", "issue" : "x", "issued" : { "date-parts" : [ [ "2010", "11", "4" ] ] }, "page" : "171-182", "title" : "Size-dependent pH effect on calcification in post-larval hard clam Mercenaria spp.", "type" : "article-journal", "volume" : "417" }, "uris" : [ "http://www.mendeley.com/documents/?uuid=a00f33c7-95f9-4083-b7e4-92bf59b49b05" ] }, { "id" : "ITEM-5",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"ITEM-5",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"ITEM-6", "itemData" : { "ISSN" : "0012-9658", "PMID" : "23431605", "abstract" : "Predicting impacts of global environmental change is challenging due to the complex life cycles that characterize many terrestrial and aquatic taxa. Different life stages often interact with the physical environment in distinct ways, and a growing body of work suggests that stresses experienced during one life stage can \"carry over\" to influence subsequent stages. Assessments of population responses to environmental perturbation must therefore consider how effects might propagate across life-history transitions. We investigated consequences of ocean acidification (decreased pH and carbonate saturation) for early life stages of the Olympia oyster (Ostrea lurida), a foundation species in estuaries along the Pacific coast of North America. We reared oysters at three levels of seawater pH, including a control (8.0) and two additional levels (7.9 and 7.8). Oysters were cultured through their planktonic larval period to metamorphosis and into early juvenile life. Larvae reared under pH 7.8 exhibited a 15% decrease in larval shell growth rate, and a 7% decrease in shell area at settlement, compared to larvae reared under control conditions. Impacts were even more pronounced a week after settlement, with juveniles that had been reared as larvae under reduced pH exhibiting a 41% decrease in shell growth rate. Importantly, the latter effect arose regardless of the pH level the oysters experienced as juveniles, indicating a strong carry-over effect from the larval phase. Adverse impacts of early exposure to low pH persisted for at least 1.5 months after juveniles were transferred to a common environment. Overall, our results suggest that a stringent focus on a single phase of the life cycle (e.g., one perceived as the \"weakest link\") may neglect critical impacts that can be transferred across life stages in taxa with complex life histories.", "author" : [ { "dropping-particle" : "", "family" : "Hettinger", "given" : "Annaliese", "non-dropping-particle" : "", "parse-names" : false, "suffix" : "" }, { "dropping-particle" : "", "family" : "Sanford", "given" : "Eric", "non-dropping-particle" : "", "parse-names" : false, "suffix" : "" }, { "dropping-particle" : "", "family" : "Hill", "given" : "Tessa M", "non-dropping-particle" : "", "parse-names" : false, "suffix" : "" }, { "dropping-particle" : "", "family" : "Russell", "given" : "Ann D", "non-dropping-particle" : "", "parse-names" : false, "suffix" : "" }, { "dropping-particle" : "", "family" : "Sato", "given" : "Kirk N S", "non-dropping-particle" : "", "parse-names" : false, "suffix" : "" }, { "dropping-particle" : "", "family" : "Hoey", "given" : "Jennifer", "non-dropping-particle" : "", "parse-names" : false, "suffix" : "" }, { "dropping-particle" : "", "family" : "Forsch", "given" : "Margaux", "non-dropping-particle" : "", "parse-names" : false, "suffix" : "" }, { "dropping-particle" : "", "family" : "Page", "given" : "Heather N", "non-dropping-particle" : "", "parse-names" : false, "suffix" : "" }, { "dropping-particle" : "", "family" : "Gaylord", "given" : "Brian", "non-dropping-particle" : "", "parse-names" : false, "suffix" : "" } ], "container-title" : "Ecology", "id" : "ITEM-6", "issue" : "12", "issued" : { "date-parts" : [ [ "2012", "12" ] ] }, "page" : "2758-68", "title" : "Persistent carry-over effects of planktonic exposure to ocean acidification in the Olympia oyster.", "type" : "article-journal", "volume" : "93" }, "uris" : [ "http://www.mendeley.com/documents/?uuid=43810796-deab-4e8f-8b3d-49ecedf45bfb" ] }, { "id" : "ITEM-7",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"ITEM-7",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"ITEM-8",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"ITEM-8", "issue" : "1", "issued" : { "date-parts" : [ [ "2007", "10", "9" ] ] }, "page" : "91-98", "title" : "Effects of increased seawater pCO2 on early development of the oyster Crassostrea gigas", "type" : "article-journal", "volume" : "1" }, "uris" : [ "http://www.mendeley.com/documents/?uuid=f2a4fa5f-36e7-46a9-b536-012ed638a064" ] }, { "id" : "ITEM-9", "itemData" : { "DOI" : "10.1242/jeb.055939", "ISSN" : "1477-9145", "PMID" : "21753053", "abstract" : "Anthropogenic CO(2) is reducing the pH and altering the carbonate chemistry of seawater, with repercussions for marine organisms and ecosystems. Current research suggests that calcification will decrease in many species, but compelling evidence of impaired functional performance of calcium carbonate structures is sparse, particularly in key species. Here we demonstrate that ocean acidification markedly degrades the mechanical integrity of larval shells in the mussel Mytilus californianus, a critical community member on rocky shores throughout the northeastern Pacific. Larvae cultured in seawater containing CO(2) concentrations expected by the year 2100 (540 or 970 ppm) precipitated weaker, thinner and smaller shells than individuals raised under present-day seawater conditions (380 ppm), and also exhibited lower tissue mass. Under a scenario where mussel larvae exposed to different CO(2) levels develop at similar rates, these trends suggest a suite of potential consequences, including an exacerbated vulnerability of new settlers to crushing and drilling attacks by predators; poorer larval condition, causing increased energetic stress during metamorphosis; and greater risks from desiccation at low tide due to shifts in shell area to body mass ratios. Under an alternative scenario where responses derive exclusively from slowed development, with impacted individuals reaching identical milestones in shell strength and size by settlement, a lengthened larval phase could increase exposure to high planktonic mortality rates. In either case, because early life stages operate as population bottlenecks, driving general patterns of distribution and abundance, the ecological success of this vital species may be tied to how ocean acidification proceeds in coming decades.", "author" : [ { "dropping-particle" : "", "family" : "Gaylord", "given" : "Brian", "non-dropping-particle" : "", "parse-names" : false, "suffix" : "" }, { "dropping-particle" : "", "family" : "Hill", "given" : "Tessa M", "non-dropping-particle" : "", "parse-names" : false, "suffix" : "" }, { "dropping-particle" : "", "family" : "Sanford", "given" : "Eric", "non-dropping-particle" : "", "parse-names" : false, "suffix" : "" }, { "dropping-particle" : "", "family" : "Lenz", "given" : "Elizabeth a", "non-dropping-particle" : "", "parse-names" : false, "suffix" : "" }, { "dropping-particle" : "", "family" : "Jacobs", "given" : "Lisa a", "non-dropping-particle" : "", "parse-names" : false, "suffix" : "" }, { "dropping-particle" : "", "family" : "Sato", "given" : "Kirk N", "non-dropping-particle" : "", "parse-names" : false, "suffix" : "" }, { "dropping-particle" : "", "family" : "Russell", "given" : "Ann D", "non-dropping-particle" : "", "parse-names" : false, "suffix" : "" }, { "dropping-particle" : "", "family" : "Hettinger", "given" : "Annaliese", "non-dropping-particle" : "", "parse-names" : false, "suffix" : "" } ], "container-title" : "The Journal of experimental biology", "id" : "ITEM-9", "issue" : "Pt 15", "issued" : { "date-parts" : [ [ "2011", "8", "1" ] ] }, "page" : "2586-94", "title" : "Functional impacts of ocean acidification in an ecologically critical foundation species.", "type" : "article-journal", "volume" : "214" }, "uris" : [ "http://www.mendeley.com/documents/?uuid=4781a24f-3dab-434c-94f7-d33979f54728" ] } ], "mendeley" : { "manualFormatting" : "(Barros et al., 2013; Barton et al., 2012; Gaylord et al., 2011; Hettinger et al., 2012; Kurihara et al., 2007; Miller et al., 2009; Parker et al., 2010; Talmage and Gobler, 2011; Waldbusser et al., 2010)", "previouslyFormattedCitation" : "(Barros, Sobral, Range, Ch\u00edcharo, &amp; Matias, 2013; Barton et al., 2012; Gaylord et al., 2011; Hettinger et al., 2012; Kurihara, Kato, &amp; Ishimatsu, 2007; Miller, Reynolds, Sobrino, &amp; Riedel, 2009; L. M. Parker, Ross, &amp; O\u2019Connor, 2010; Talmage &amp; Gobler, 2011; G. Waldbusser, Bergschneider, &amp; Green, 2010)" }, "properties" : { "noteIndex" : 0 }, "schema" : "https://github.com/citation-style-language/schema/raw/master/csl-citation.json" }</w:instrText>
      </w:r>
      <w:r>
        <w:fldChar w:fldCharType="separate"/>
      </w:r>
      <w:r>
        <w:rPr>
          <w:noProof/>
        </w:rPr>
        <w:t>(Barros et al.</w:t>
      </w:r>
      <w:r w:rsidRPr="00383060">
        <w:rPr>
          <w:noProof/>
        </w:rPr>
        <w:t>, 2013; Barton et al., 2012; Gaylord et al., 2011; He</w:t>
      </w:r>
      <w:r>
        <w:rPr>
          <w:noProof/>
        </w:rPr>
        <w:t>ttinger et al., 2012; Kurihara et al., 2007; Miller et al., 2009; Parker et al., 2010; Talmage and Gobler, 2011; Waldbusser et al.</w:t>
      </w:r>
      <w:r w:rsidRPr="00383060">
        <w:rPr>
          <w:noProof/>
        </w:rPr>
        <w:t>, 2010)</w:t>
      </w:r>
      <w:r>
        <w:fldChar w:fldCharType="end"/>
      </w:r>
      <w:r>
        <w:t xml:space="preserve">.   These phenotypic changes likely result from changes in energetic resource allocation in the larvae since they are manifested around the time when larvae make the transition from endogenous, maternally provided energetic resources to exogenous food </w:t>
      </w:r>
      <w:r>
        <w:fldChar w:fldCharType="begin" w:fldLock="1"/>
      </w:r>
      <w:r>
        <w:instrText>ADDIN CSL_CITATION { "citationItems" : [ { "id" : "ITEM-1",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"ITEM-1",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"ITEM-3", "issue" : "8", "issued" : { "date-parts" : [ [ "2012", "10", "20" ] ] }, "page" : "1973-1982", "title" : "Elevated pCO2 causes developmental delay in early larval Pacific oysters, Crassostrea gigas", "type" : "article-journal", "volume" : "160" }, "uris" : [ "http://www.mendeley.com/documents/?uuid=63b29c03-5be1-4e8e-8e0d-a5a1de9e2232" ] } ], "mendeley" : { "manualFormatting" : "(Barros et al., 2013; Barton et al., 2012; Timmins-Schiffman et al., 2012)", "previouslyFormattedCitation" : "(Barros et al., 2013; Barton et al., 2012; Timmins-Schiffman, O\u2019Donnell, Friedman, &amp; Roberts, 2012)" }, "properties" : { "noteIndex" : 0 }, "schema" : "https://github.com/citation-style-language/schema/raw/master/csl-citation.json" }</w:instrText>
      </w:r>
      <w:r>
        <w:fldChar w:fldCharType="separate"/>
      </w:r>
      <w:r w:rsidRPr="00223923">
        <w:rPr>
          <w:noProof/>
        </w:rPr>
        <w:t>(Barros et al., 2013; Barton et al., 2012</w:t>
      </w:r>
      <w:r>
        <w:rPr>
          <w:noProof/>
        </w:rPr>
        <w:t>; Timmins-Schiffman et al.</w:t>
      </w:r>
      <w:r w:rsidRPr="00223923">
        <w:rPr>
          <w:noProof/>
        </w:rPr>
        <w:t>, 2012)</w:t>
      </w:r>
      <w:r>
        <w:fldChar w:fldCharType="end"/>
      </w:r>
      <w:r>
        <w:t xml:space="preserve">.  The extra energetic demand of dependence upon external food resources means that fewer resources are available for other processes, such as growth and calcification, resulting in an overall developmental delay in ocean acidification-exposed larvae.  </w:t>
      </w:r>
    </w:p>
    <w:p w14:paraId="339EFFB9" w14:textId="77777777" w:rsidR="006315D6" w:rsidRDefault="006315D6" w:rsidP="006315D6">
      <w:pPr>
        <w:spacing w:line="360" w:lineRule="auto"/>
        <w:ind w:firstLine="720"/>
      </w:pPr>
      <w:r>
        <w:t xml:space="preserve">Around the same time as this metabolic shift, early larvae are beginning the process of calcification, which is more energetically demanding at the D-hinge stage than at later stages </w:t>
      </w:r>
      <w:r>
        <w:fldChar w:fldCharType="begin" w:fldLock="1"/>
      </w:r>
      <w: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fldChar w:fldCharType="separate"/>
      </w:r>
      <w:r>
        <w:rPr>
          <w:noProof/>
        </w:rPr>
        <w:t>(</w:t>
      </w:r>
      <w:r w:rsidRPr="00223923">
        <w:rPr>
          <w:noProof/>
        </w:rPr>
        <w:t>Waldbusser et al., 2013)</w:t>
      </w:r>
      <w:r>
        <w:fldChar w:fldCharType="end"/>
      </w:r>
      <w:r>
        <w:t xml:space="preserve">.  D-hinge larvae have higher amounts of seawater-derived carbon in their precipitated shell, suggesting that either they are unable to fully isolate their calcifying space or they require relatively more DIC than later stage larvae </w:t>
      </w:r>
      <w:r>
        <w:fldChar w:fldCharType="begin" w:fldLock="1"/>
      </w:r>
      <w: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fldChar w:fldCharType="separate"/>
      </w:r>
      <w:r>
        <w:rPr>
          <w:noProof/>
        </w:rPr>
        <w:t>(</w:t>
      </w:r>
      <w:r w:rsidRPr="00223923">
        <w:rPr>
          <w:noProof/>
        </w:rPr>
        <w:t>Waldbusser et al., 2013)</w:t>
      </w:r>
      <w:r>
        <w:fldChar w:fldCharType="end"/>
      </w:r>
      <w:r>
        <w:t>.  Either hypothesis would mean that early stage calcification is highly sensitive to changes in carbon availability (i.e. CaCO</w:t>
      </w:r>
      <w:r w:rsidRPr="00216ADA">
        <w:rPr>
          <w:vertAlign w:val="subscript"/>
        </w:rPr>
        <w:t>3</w:t>
      </w:r>
      <w:r>
        <w:t xml:space="preserve"> saturation state).   The precise mechanisms behind developmental delay and other changes observed in bivalve larvae have yet to be fully characterized, but a proteomic investigation of </w:t>
      </w:r>
      <w:r w:rsidRPr="00216ADA">
        <w:rPr>
          <w:i/>
        </w:rPr>
        <w:t>Crassostrea hongkongensis</w:t>
      </w:r>
      <w:r>
        <w:t xml:space="preserve"> larvae exposed to elevated </w:t>
      </w:r>
      <w:r w:rsidRPr="00216ADA">
        <w:rPr>
          <w:i/>
        </w:rPr>
        <w:t>p</w:t>
      </w:r>
      <w:r>
        <w:t>CO</w:t>
      </w:r>
      <w:r w:rsidRPr="00216ADA">
        <w:rPr>
          <w:vertAlign w:val="subscript"/>
        </w:rPr>
        <w:t>2</w:t>
      </w:r>
      <w:r>
        <w:t xml:space="preserve"> revealed that ocean acidification causes a down-regulation of proteins involved in metabolic pathways </w:t>
      </w:r>
      <w:r>
        <w:fldChar w:fldCharType="begin" w:fldLock="1"/>
      </w:r>
      <w: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 "properties" : { "noteIndex" : 0 }, "schema" : "https://github.com/citation-style-language/schema/raw/master/csl-citation.json" }</w:instrText>
      </w:r>
      <w:r>
        <w:fldChar w:fldCharType="separate"/>
      </w:r>
      <w:r w:rsidRPr="00223923">
        <w:rPr>
          <w:noProof/>
        </w:rPr>
        <w:t>(Dineshram et al., 2013)</w:t>
      </w:r>
      <w:r>
        <w:fldChar w:fldCharType="end"/>
      </w:r>
      <w:r>
        <w:t>.</w:t>
      </w:r>
    </w:p>
    <w:p w14:paraId="75C539F0" w14:textId="77777777" w:rsidR="006315D6" w:rsidRDefault="006315D6" w:rsidP="006315D6">
      <w:pPr>
        <w:spacing w:line="360" w:lineRule="auto"/>
        <w:ind w:firstLine="720"/>
      </w:pPr>
      <w:r>
        <w:t xml:space="preserve">Adult bivalves are generally less sensitive to changes in oceanic </w:t>
      </w:r>
      <w:r w:rsidRPr="00C15AFD">
        <w:rPr>
          <w:i/>
        </w:rPr>
        <w:t>p</w:t>
      </w:r>
      <w:r>
        <w:t>CO</w:t>
      </w:r>
      <w:r w:rsidRPr="00C15AFD">
        <w:rPr>
          <w:vertAlign w:val="subscript"/>
        </w:rPr>
        <w:t>2</w:t>
      </w:r>
      <w:r>
        <w:t xml:space="preserve">, but still exhibit changes in growth, calcification, and many important physiological processes in response to ocean acidification.  Bivalve shell deposition is negatively impacted by elevated </w:t>
      </w:r>
      <w:r w:rsidRPr="00C15AFD">
        <w:rPr>
          <w:i/>
        </w:rPr>
        <w:t>p</w:t>
      </w:r>
      <w:r>
        <w:t>CO</w:t>
      </w:r>
      <w:r w:rsidRPr="00C15AFD">
        <w:rPr>
          <w:vertAlign w:val="subscript"/>
        </w:rPr>
        <w:t>2</w:t>
      </w:r>
      <w:r>
        <w:t xml:space="preserve"> </w:t>
      </w:r>
      <w:r>
        <w:fldChar w:fldCharType="begin" w:fldLock="1"/>
      </w:r>
      <w: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fldChar w:fldCharType="separate"/>
      </w:r>
      <w:r w:rsidRPr="00C03AD9">
        <w:rPr>
          <w:noProof/>
        </w:rPr>
        <w:t>(Gazeau et al., 2007)</w:t>
      </w:r>
      <w:r>
        <w:fldChar w:fldCharType="end"/>
      </w:r>
      <w:r>
        <w:t xml:space="preserve"> and some studies have illustrated decreased shell growth in low pH-exposed juveniles and adults </w:t>
      </w:r>
      <w:r>
        <w:fldChar w:fldCharType="begin" w:fldLock="1"/>
      </w:r>
      <w: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"id" : "ITEM-2", "issue" : "Lackner 2003",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"ITEM-3", "itemData" : { "DOI" : "10.1007/s00227-010-1527-0", "ISSN" : "0025-3162", "author" : [ { "dropping-particle" : "", "family" : "Thomsen", "given" : "J\u00f6rn", "non-dropping-particle" : "", "parse-names" : false, "suffix" : "" }, { "dropping-particle" : "", "family" : "Melzner", "given" : "Frank", "non-dropping-particle" : "", "parse-names" : false, "suffix" : "" } ], "container-title" : "Marine Biology", "id" : "ITEM-3", "issue" : "12", "issued" : { "date-parts" : [ [ "2010", "8", "12" ] ] }, "page" : "2667-2676", "title" : "Moderate seawater acidification does not elicit long-term metabolic depression in the blue mussel Mytilus edulis", "type" : "article-journal", "volume" : "157" }, "uris" : [ "http://www.mendeley.com/documents/?uuid=5360d171-b160-420b-ad68-7850acff82b8" ] } ], "mendeley" : { "manualFormatting" : "(Beniash et al., 2010; Michaelidis et al., 2005; Thomsen and Melzner, 2010)", "previouslyFormattedCitation" : "(Beniash, Ivanina, Lieb, Kurochkin, &amp; Sokolova, 2010; Michaelidis, Ouzounis, Paleras, &amp; P\u00f6rtner, 2005; Thomsen &amp; Melzner, 2010)" }, "properties" : { "noteIndex" : 0 }, "schema" : "https://github.com/citation-style-language/schema/raw/master/csl-citation.json" }</w:instrText>
      </w:r>
      <w:r>
        <w:fldChar w:fldCharType="separate"/>
      </w:r>
      <w:r>
        <w:rPr>
          <w:noProof/>
        </w:rPr>
        <w:t>(Beniash et al.</w:t>
      </w:r>
      <w:r w:rsidRPr="00C03AD9">
        <w:rPr>
          <w:noProof/>
        </w:rPr>
        <w:t>, 2010; Michaelidis</w:t>
      </w:r>
      <w:r>
        <w:rPr>
          <w:noProof/>
        </w:rPr>
        <w:t xml:space="preserve"> et al.</w:t>
      </w:r>
      <w:r w:rsidRPr="00C03AD9">
        <w:rPr>
          <w:noProof/>
        </w:rPr>
        <w:t xml:space="preserve">, </w:t>
      </w:r>
      <w:r>
        <w:rPr>
          <w:noProof/>
        </w:rPr>
        <w:t>2005; Thomsen and</w:t>
      </w:r>
      <w:r w:rsidRPr="00C03AD9">
        <w:rPr>
          <w:noProof/>
        </w:rPr>
        <w:t xml:space="preserve"> Melzner, 2010)</w:t>
      </w:r>
      <w:r>
        <w:fldChar w:fldCharType="end"/>
      </w:r>
      <w:r>
        <w:t xml:space="preserve">.  The negative effects of decreased pH (and thereby decreased </w:t>
      </w:r>
      <w:r>
        <w:rPr>
          <w:rFonts w:ascii="Cambria" w:hAnsi="Cambria"/>
        </w:rPr>
        <w:t>Ω</w:t>
      </w:r>
      <w:r>
        <w:t xml:space="preserve">) are most often manifested in weaker shells that are structurally compromised </w:t>
      </w:r>
      <w:r>
        <w:fldChar w:fldCharType="begin" w:fldLock="1"/>
      </w:r>
      <w: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"(Dickinson et al., 2012; Dickinson et al., 2013; Welladsen et al., 2010)", "previouslyFormattedCitation" : "(Dickinson et al., 2012; Dickinson, Matoo, Tourek, Sokolova, &amp; Beniash, 2013; Welladsen, Southgate, &amp; Heimann, 2010)" }, "properties" : { "noteIndex" : 0 }, "schema" : "https://github.com/citation-style-language/schema/raw/master/csl-citation.json" }</w:instrText>
      </w:r>
      <w:r>
        <w:fldChar w:fldCharType="separate"/>
      </w:r>
      <w:r w:rsidRPr="00C03AD9">
        <w:rPr>
          <w:noProof/>
        </w:rPr>
        <w:t>(Dic</w:t>
      </w:r>
      <w:r>
        <w:rPr>
          <w:noProof/>
        </w:rPr>
        <w:t>kinson et al., 2012; Dickinson et al., 2013; Welladsen et al.</w:t>
      </w:r>
      <w:r w:rsidRPr="00C03AD9">
        <w:rPr>
          <w:noProof/>
        </w:rPr>
        <w:t>, 2010)</w:t>
      </w:r>
      <w:r>
        <w:fldChar w:fldCharType="end"/>
      </w:r>
      <w:r>
        <w:t>.</w:t>
      </w:r>
    </w:p>
    <w:p w14:paraId="2A4CB54F" w14:textId="643C4255" w:rsidR="006315D6" w:rsidRDefault="006315D6" w:rsidP="006315D6">
      <w:pPr>
        <w:spacing w:line="360" w:lineRule="auto"/>
      </w:pPr>
      <w:r>
        <w:tab/>
      </w:r>
      <w:r w:rsidR="00357B4F">
        <w:t>Various</w:t>
      </w:r>
      <w:r>
        <w:t xml:space="preserve"> other physiological processes </w:t>
      </w:r>
      <w:r w:rsidR="00357B4F">
        <w:t>have</w:t>
      </w:r>
      <w:r>
        <w:t xml:space="preserve"> also been explored in the adult bivalve response to ocean acidification, illustrating the wide-ranging effects of this environmental stress.  Changes in metabolic processes may change the energetic resources available for other physiological processes.  In </w:t>
      </w:r>
      <w:r>
        <w:rPr>
          <w:i/>
        </w:rPr>
        <w:t>C. virginica</w:t>
      </w:r>
      <w:r>
        <w:t xml:space="preserve">, glycogen and lipid in whole body tissue decreased after an eleven week exposure to low pH </w:t>
      </w:r>
      <w:r>
        <w:fldChar w:fldCharType="begin" w:fldLock="1"/>
      </w:r>
      <w: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fldChar w:fldCharType="separate"/>
      </w:r>
      <w:r w:rsidRPr="00C03AD9">
        <w:rPr>
          <w:noProof/>
        </w:rPr>
        <w:t>(Dickinson et al., 2012)</w:t>
      </w:r>
      <w:r>
        <w:fldChar w:fldCharType="end"/>
      </w:r>
      <w:r>
        <w:t xml:space="preserve">.  Similarly, metabolic shifts were evidenced in </w:t>
      </w:r>
      <w:r w:rsidRPr="008F447B">
        <w:rPr>
          <w:i/>
        </w:rPr>
        <w:t>C. gigas</w:t>
      </w:r>
      <w:r>
        <w:t xml:space="preserve"> after a 55-day exposure to low pH by changes in metabolites in the mantle and gill tissue </w:t>
      </w:r>
      <w:r>
        <w:fldChar w:fldCharType="begin" w:fldLock="1"/>
      </w:r>
      <w: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fldChar w:fldCharType="separate"/>
      </w:r>
      <w:r w:rsidRPr="006A47BC">
        <w:rPr>
          <w:noProof/>
        </w:rPr>
        <w:t>(Lannig</w:t>
      </w:r>
      <w:r>
        <w:rPr>
          <w:noProof/>
        </w:rPr>
        <w:t xml:space="preserve"> et al.</w:t>
      </w:r>
      <w:r w:rsidRPr="006A47BC">
        <w:rPr>
          <w:noProof/>
        </w:rPr>
        <w:t>, 2010)</w:t>
      </w:r>
      <w:r>
        <w:fldChar w:fldCharType="end"/>
      </w:r>
      <w:r>
        <w:t xml:space="preserve">.  During concurrent exposure to elevated temperature and ocean acidification, </w:t>
      </w:r>
      <w:r w:rsidRPr="008F447B">
        <w:rPr>
          <w:i/>
        </w:rPr>
        <w:t>C. gigas</w:t>
      </w:r>
      <w:r>
        <w:t xml:space="preserve"> increased metabolic usage of carbohydrates and lipids compared to proteins </w:t>
      </w:r>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6A47BC">
        <w:rPr>
          <w:noProof/>
        </w:rPr>
        <w:t>(Clark et al., 2013)</w:t>
      </w:r>
      <w:r>
        <w:fldChar w:fldCharType="end"/>
      </w:r>
      <w:r>
        <w:t xml:space="preserve">.  The important impacts of ocean acidification on metabolic processes is further evidenced by studies that have revealed that the negative effects of elevated </w:t>
      </w:r>
      <w:r w:rsidRPr="00B127A0">
        <w:rPr>
          <w:i/>
        </w:rPr>
        <w:t>p</w:t>
      </w:r>
      <w:r>
        <w:t>CO</w:t>
      </w:r>
      <w:r w:rsidRPr="00B127A0">
        <w:rPr>
          <w:vertAlign w:val="subscript"/>
        </w:rPr>
        <w:t>2</w:t>
      </w:r>
      <w:r>
        <w:t xml:space="preserve"> are largely mitigated when mussels have greater access to food resources </w:t>
      </w:r>
      <w:r>
        <w:fldChar w:fldCharType="begin" w:fldLock="1"/>
      </w:r>
      <w: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"manualFormatting" : "(Melzner et al., 2011; Thomsen et al., 2013)", "previouslyFormattedCitation" : "(Melzner et al., 2011; Thomsen, Casties, Pansch, K\u00f6rtzinger, &amp; Melzner, 2013)" }, "properties" : { "noteIndex" : 0 }, "schema" : "https://github.com/citation-style-language/schema/raw/master/csl-citation.json" }</w:instrText>
      </w:r>
      <w:r>
        <w:fldChar w:fldCharType="separate"/>
      </w:r>
      <w:r w:rsidRPr="006A47BC">
        <w:rPr>
          <w:noProof/>
        </w:rPr>
        <w:t>(Melzn</w:t>
      </w:r>
      <w:r>
        <w:rPr>
          <w:noProof/>
        </w:rPr>
        <w:t>er et al., 2011; Thomsen et al.</w:t>
      </w:r>
      <w:r w:rsidRPr="006A47BC">
        <w:rPr>
          <w:noProof/>
        </w:rPr>
        <w:t>, 2013)</w:t>
      </w:r>
      <w:r>
        <w:fldChar w:fldCharType="end"/>
      </w:r>
      <w:r>
        <w:t>.</w:t>
      </w:r>
    </w:p>
    <w:p w14:paraId="5BD45AC2" w14:textId="77777777" w:rsidR="006315D6" w:rsidRDefault="006315D6" w:rsidP="006315D6">
      <w:pPr>
        <w:spacing w:line="360" w:lineRule="auto"/>
        <w:ind w:firstLine="720"/>
      </w:pPr>
      <w:r>
        <w:t xml:space="preserve">Bivalve hemolymph pH closely tracks environmental pH </w:t>
      </w:r>
      <w:r>
        <w:fldChar w:fldCharType="begin" w:fldLock="1"/>
      </w:r>
      <w: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"previouslyFormattedCitation" : "(Lannig et al., 2010; Thomsen et al., 2013)" }, "properties" : { "noteIndex" : 0 }, "schema" : "https://github.com/citation-style-language/schema/raw/master/csl-citation.json" }</w:instrText>
      </w:r>
      <w:r>
        <w:fldChar w:fldCharType="separate"/>
      </w:r>
      <w:r w:rsidRPr="006A47BC">
        <w:rPr>
          <w:noProof/>
        </w:rPr>
        <w:t>(Lannig et al., 2010; Thomsen et al., 2013)</w:t>
      </w:r>
      <w:r>
        <w:fldChar w:fldCharType="end"/>
      </w:r>
      <w:r>
        <w:t xml:space="preserve">.   The change in hemolymph pH may be the main contributing factor to changes in bivalve immune parameters during exposure to elevated </w:t>
      </w:r>
      <w:r w:rsidRPr="008F447B">
        <w:rPr>
          <w:i/>
        </w:rPr>
        <w:t>p</w:t>
      </w:r>
      <w:r>
        <w:t>CO</w:t>
      </w:r>
      <w:r w:rsidRPr="008F447B">
        <w:rPr>
          <w:vertAlign w:val="subscript"/>
        </w:rPr>
        <w:t>2</w:t>
      </w:r>
      <w:r>
        <w:t xml:space="preserve">.  Short-term ocean acidification exposure coupled with elevated temperature altered hemocyte parameters in the clam </w:t>
      </w:r>
      <w:r w:rsidRPr="008F447B">
        <w:rPr>
          <w:i/>
        </w:rPr>
        <w:t>Chamela gallina</w:t>
      </w:r>
      <w:r>
        <w:t xml:space="preserve"> and the mussel </w:t>
      </w:r>
      <w:r w:rsidRPr="008F447B">
        <w:rPr>
          <w:i/>
        </w:rPr>
        <w:t>Mytilus galloprovincialis</w:t>
      </w:r>
      <w:r>
        <w:t xml:space="preserve"> </w:t>
      </w:r>
      <w:r>
        <w:fldChar w:fldCharType="begin" w:fldLock="1"/>
      </w:r>
      <w:r>
        <w:instrText>ADDIN CSL_CITATION { "citationItems" : [ { "id" : "ITEM-1", "itemData" : { "DOI" : "10.1371/journal.pone.0033820", "ISSN" : "1932-6203", "PMID" : "22479452", "abstract" : "Water acidification, temperature increases and changes in seawater salinity are predicted to occur in the near future. In such a global climate change (GCC) scenario, there is growing concern for the health status of both wild and farmed organisms. Bivalve molluscs, an important component of coastal marine ecosystems, are at risk. At the immunological level, the ability of an organism to maintain its immunosurveillance unaltered under adverse environmental conditions may enhance its survival capability. To our knowledge, only a few studies have investigated the effects of changing environmental parameters (as predicted in a GCC scenario) on the immune responses of bivalves. In the present study, the effects of both decreased pH values and increased temperature on the important immune parameters of two bivalve species were evaluated for the first time. The clam Chamelea gallina and the mussel Mytilus galloprovincialis, widespread along the coast of the Northwestern Adriatic Sea, were chosen as model organisms. Bivalves were exposed for 7 days to three pH values (8.1, 7.7 and 7.4) at two temperatures (22 and 28\u00b0C). Three independent experiments were carried out at salinities of 28, 34 and 40 PSU. The total haemocyte count, Neutral Red uptake, haemolymph lysozyme activity and total protein levels were measured. The results obtained demonstrated that tested experimental conditions affected significantly most of the immune parameters measured in bivalves, even if the variation pattern of haemocyte responses was not always linear. Between the two species, C. gallina appeared more vulnerable to changing pH and temperature than M. galloprovincialis. Overall, this study demonstrated that climate changes can strongly affect haemocyte functionality in bivalves. However, further studies are needed to clarify better the mechanisms of action of changing environmental parameters, both individually and in combination, on bivalve haemocytes.", "author" : [ { "dropping-particle" : "", "family" : "Matozzo", "given" : "Valerio", "non-dropping-particle" : "", "parse-names" : false, "suffix" : "" }, { "dropping-particle" : "", "family" : "Chinellato", "given" : "Andrea", "non-dropping-particle" : "", "parse-names" : false, "suffix" : "" }, { "dropping-particle" : "", "family" : "Munari", "given" : "Marco", "non-dropping-particle" : "", "parse-names" : false, "suffix" : "" }, { "dropping-particle" : "", "family" : "Finos", "given" : "Livio", "non-dropping-particle" : "", "parse-names" : false, "suffix" : "" }, { "dropping-particle" : "", "family" : "Bressan", "given" : "Monica", "non-dropping-particle" : "", "parse-names" : false, "suffix" : "" }, { "dropping-particle" : "", "family" : "Marin", "given" : "Maria Gabriella", "non-dropping-particle" : "", "parse-names" : false, "suffix" : "" } ], "container-title" : "PloS one", "id" : "ITEM-1", "issue" : "3", "issued" : { "date-parts" : [ [ "2012", "1" ] ] }, "page" : "e33820", "title" : "First evidence of immunomodulation in bivalves under seawater acidification and increased temperature.", "type" : "article-journal", "volume" : "7" }, "uris" : [ "http://www.mendeley.com/documents/?uuid=7e9140d2-c100-4b68-8624-f3564f7cf953" ] } ], "mendeley" : { "previouslyFormattedCitation" : "(Matozzo et al., 2012)" }, "properties" : { "noteIndex" : 0 }, "schema" : "https://github.com/citation-style-language/schema/raw/master/csl-citation.json" }</w:instrText>
      </w:r>
      <w:r>
        <w:fldChar w:fldCharType="separate"/>
      </w:r>
      <w:r w:rsidRPr="006A47BC">
        <w:rPr>
          <w:noProof/>
        </w:rPr>
        <w:t>(Matozzo et al., 2012)</w:t>
      </w:r>
      <w:r>
        <w:fldChar w:fldCharType="end"/>
      </w:r>
      <w:r>
        <w:t xml:space="preserve">.  There is also evidence of increased oxidative stress in bivalves at the cellular </w:t>
      </w:r>
      <w:r>
        <w:fldChar w:fldCharType="begin" w:fldLock="1"/>
      </w:r>
      <w: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fldChar w:fldCharType="separate"/>
      </w:r>
      <w:r>
        <w:rPr>
          <w:noProof/>
        </w:rPr>
        <w:t>(Matoo et al.</w:t>
      </w:r>
      <w:r w:rsidRPr="006A47BC">
        <w:rPr>
          <w:noProof/>
        </w:rPr>
        <w:t>, 2013)</w:t>
      </w:r>
      <w:r>
        <w:fldChar w:fldCharType="end"/>
      </w:r>
      <w:r>
        <w:t xml:space="preserve">, gene expression </w:t>
      </w:r>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6A47BC">
        <w:rPr>
          <w:noProof/>
        </w:rPr>
        <w:t>(Clark et al., 2013)</w:t>
      </w:r>
      <w:r>
        <w:fldChar w:fldCharType="end"/>
      </w:r>
      <w:r>
        <w:t xml:space="preserve">, and protein expression levels </w:t>
      </w:r>
      <w:r>
        <w:fldChar w:fldCharType="begin" w:fldLock="1"/>
      </w:r>
      <w: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fldChar w:fldCharType="separate"/>
      </w:r>
      <w:r>
        <w:rPr>
          <w:noProof/>
        </w:rPr>
        <w:t>(Tomanek et al.</w:t>
      </w:r>
      <w:r w:rsidRPr="006A47BC">
        <w:rPr>
          <w:noProof/>
        </w:rPr>
        <w:t>, 2011)</w:t>
      </w:r>
      <w:r>
        <w:fldChar w:fldCharType="end"/>
      </w:r>
      <w:r>
        <w:t xml:space="preserve">. </w:t>
      </w:r>
    </w:p>
    <w:p w14:paraId="7CAAB41E" w14:textId="77777777" w:rsidR="006315D6" w:rsidRDefault="006315D6" w:rsidP="006315D6">
      <w:pPr>
        <w:spacing w:line="360" w:lineRule="auto"/>
      </w:pPr>
    </w:p>
    <w:p w14:paraId="3BCCD577" w14:textId="19B6A60F" w:rsidR="006315D6" w:rsidRDefault="006315D6" w:rsidP="006315D6">
      <w:pPr>
        <w:pStyle w:val="Heading2"/>
      </w:pPr>
      <w:bookmarkStart w:id="11" w:name="_Toc252109976"/>
      <w:r>
        <w:t>Applying Molecular Tools to Study Environmental Change</w:t>
      </w:r>
      <w:bookmarkEnd w:id="11"/>
    </w:p>
    <w:p w14:paraId="41FE7203" w14:textId="77777777" w:rsidR="00D92FB6" w:rsidRPr="00D92FB6" w:rsidRDefault="00D92FB6" w:rsidP="00D92FB6"/>
    <w:p w14:paraId="73D50D51" w14:textId="77777777" w:rsidR="006315D6" w:rsidRDefault="006315D6" w:rsidP="006315D6">
      <w:pPr>
        <w:spacing w:line="360" w:lineRule="auto"/>
        <w:ind w:firstLine="720"/>
      </w:pPr>
      <w:r>
        <w:t xml:space="preserve">Molecular ecology is the use of molecular data (i.e. DNA, RNA, or protein) to explore interactions between organisms and their environment.  These tools can be applied at the individual gene or protein level (targeted gene sequencing, qPCR, or Western blots) or on a global scale (genomics, transcriptomics, or proteomics).  The latter is a non-biased approach in which the organism is assayed for its response to the environment and can be the basis for discovery of complex organism-environment interactions and biomarker development.  </w:t>
      </w:r>
    </w:p>
    <w:p w14:paraId="4F6CC851" w14:textId="2FB5DE04" w:rsidR="006315D6" w:rsidRDefault="006315D6" w:rsidP="006315D6">
      <w:pPr>
        <w:spacing w:line="360" w:lineRule="auto"/>
        <w:ind w:firstLine="720"/>
      </w:pPr>
      <w:r>
        <w:t xml:space="preserve">Genome sequencing can provide information on the genomic resources possessed by a species as well as insight into adaptation and evolution.  The recent sequencing of the </w:t>
      </w:r>
      <w:r w:rsidRPr="008F447B">
        <w:rPr>
          <w:i/>
        </w:rPr>
        <w:t>C. gigas</w:t>
      </w:r>
      <w:r>
        <w:t xml:space="preserve"> genome revealed that oysters have an expanded repertoire of stress response genes compared to the genomes of seven other species </w:t>
      </w:r>
      <w:r>
        <w:fldChar w:fldCharType="begin" w:fldLock="1"/>
      </w:r>
      <w:r>
        <w:instrText>ADDIN CSL_CITATION { "citationItems" : [ { "id" : "ITEM-1", "itemData" : { "DOI" : "10.1038/nature11413", "ISSN" : "1476-4687", "PMID" : "22992520", "abstract" : "The Pacific oyster Crassostrea gigas belongs to one of the most species-rich but genomically poorly explored phyla, the Mollusca. Here we report the sequencing and assembly of the oyster genome using short reads and a fosmid-pooling strategy, along with transcriptomes of development and stress response and the proteome of the shell. The oyster genome is highly polymorphic and rich in repetitive sequences, with some transposable elements still actively shaping variation. Transcriptome studies reveal an extensive set of genes responding to environmental stress. The expansion of genes coding for heat shock protein 70 and inhibitors of apoptosis is probably central to the oyster's adaptation to sessile life in the highly stressful intertidal zone. Our analyses also show that shell formation in molluscs is more complex than currently understood and involves extensive participation of cells and their exosomes. The oyster genome sequence fills a void in our understanding of the Lophotrochozoa.", "author" : [ { "dropping-particle" : "", "family" : "Zhang", "given" : "Guofan", "non-dropping-particle" : "", "parse-names" : false, "suffix" : "" }, { "dropping-particle" : "", "family" : "Fang", "given" : "Xiaodong", "non-dropping-particle" : "", "parse-names" : false, "suffix" : "" }, { "dropping-particle" : "", "family" : "Guo", "given" : "Ximing", "non-dropping-particle" : "", "parse-names" : false, "suffix" : "" }, { "dropping-particle" : "", "family" : "Li", "given" : "Li", "non-dropping-particle" : "", "parse-names" : false, "suffix" : "" }, { "dropping-particle" : "", "family" : "Luo", "given" : "Ruibang", "non-dropping-particle" : "", "parse-names" : false, "suffix" : "" }, { "dropping-particle" : "", "family" : "Xu", "given" : "Fei", "non-dropping-particle" : "", "parse-names" : false, "suffix" : "" }, { "dropping-particle" : "", "family" : "Yang", "given" : "Pengcheng", "non-dropping-particle" : "", "parse-names" : false, "suffix" : "" }, { "dropping-particle" : "", "family" : "Zhang", "given" : "Linlin", "non-dropping-particle" : "", "parse-names" : false, "suffix" : "" }, { "dropping-particle" : "", "family" : "Wang", "given" : "Xiaotong", "non-dropping-particle" : "", "parse-names" : false, "suffix" : "" }, { "dropping-particle" : "", "family" : "Qi", "given" : "Haigang", "non-dropping-particle" : "", "parse-names" : false, "suffix" : "" }, { "dropping-particle" : "", "family" : "Xiong", "given" : "Zhiqiang", "non-dropping-particle" : "", "parse-names" : false, "suffix" : "" }, { "dropping-particle" : "", "family" : "Que", "given" : "Huayong", "non-dropping-particle" : "", "parse-names" : false, "suffix" : "" }, { "dropping-particle" : "", "family" : "Xie", "given" : "Yinlong", "non-dropping-particle" : "", "parse-names" : false, "suffix" : "" }, { "dropping-particle" : "", "family" : "Holland", "given" : "Peter W H", "non-dropping-particle" : "", "parse-names" : false, "suffix" : "" }, { "dropping-particle" : "", "family" : "Paps", "given" : "Jordi", "non-dropping-particle" : "", "parse-names" : false, "suffix" : "" }, { "dropping-particle" : "", "family" : "Zhu", "given" : "Yabing", "non-dropping-particle" : "", "parse-names" : false, "suffix" : "" }, { "dropping-particle" : "", "family" : "Wu", "given" : "Fucun", "non-dropping-particle" : "", "parse-names" : false, "suffix" : "" }, { "dropping-particle" : "", "family" : "Chen", "given" : "Yuanxin", "non-dropping-particle" : "", "parse-names" : false, "suffix" : "" }, { "dropping-particle" : "", "family" : "Wang", "given" : "Jiafeng", "non-dropping-particle" : "", "parse-names" : false, "suffix" : "" }, { "dropping-particle" : "", "family" : "Peng", "given" : "Chunfang", "non-dropping-particle" : "", "parse-names" : false, "suffix" : "" }, { "dropping-particle" : "", "family" : "Meng", "given" : "Jie", "non-dropping-particle" : "", "parse-names" : false, "suffix" : "" }, { "dropping-particle" : "", "family" : "Yang", "given" : "Lan", "non-dropping-particle" : "", "parse-names" : false, "suffix" : "" }, { "dropping-particle" : "", "family" : "Liu", "given" : "Jun", "non-dropping-particle" : "", "parse-names" : false, "suffix" : "" }, { "dropping-particle" : "", "family" : "Wen", "given" : "Bo", "non-dropping-particle" : "", "parse-names" : false, "suffix" : "" }, { "dropping-particle" : "", "family" : "Zhang", "given" : "Na", "non-dropping-particle" : "", "parse-names" : false, "suffix" : "" }, { "dropping-particle" : "", "family" : "Huang", "given" : "Zhiyong", "non-dropping-particle" : "", "parse-names" : false, "suffix" : "" }, { "dropping-particle" : "", "family" : "Zhu", "given" : "Qihui", "non-dropping-particle" : "", "parse-names" : false, "suffix" : "" }, { "dropping-particle" : "", "family" : "Feng", "given" : "Yue", "non-dropping-particle" : "", "parse-names" : false, "suffix" : "" }, { "dropping-particle" : "", "family" : "Mount", "given" : "Andrew", "non-dropping-particle" : "", "parse-names" : false, "suffix" : "" }, { "dropping-particle" : "", "family" : "Hedgecock", "given" : "Dennis", "non-dropping-particle" : "", "parse-names" : false, "suffix" : "" }, { "dropping-particle" : "", "family" : "Xu", "given" : "Zhe", "non-dropping-particle" : "", "parse-names" : false, "suffix" : "" }, { "dropping-particle" : "", "family" : "Liu", "given" : "Yunjie", "non-dropping-particle" : "", "parse-names" : false, "suffix" : "" }, { "dropping-particle" : "", "family" : "Domazet-Lo\u0161o", "given" : "Tomislav", "non-dropping-particle" : "", "parse-names" : false, "suffix" : "" }, { "dropping-particle" : "", "family" : "Du", "given" : "Yishuai", "non-dropping-particle" : "", "parse-names" : false, "suffix" : "" }, { "dropping-particle" : "", "family" : "Sun", "given" : "Xiaoqing", "non-dropping-particle" : "", "parse-names" : false, "suffix" : "" }, { "dropping-particle" : "", "family" : "Zhang", "given" : "Shoudu", "non-dropping-particle" : "", "parse-names" : false, "suffix" : "" }, { "dropping-particle" : "", "family" : "Liu", "given" : "Binghang", "non-dropping-particle" : "", "parse-names" : false, "suffix" : "" }, { "dropping-particle" : "", "family" : "Cheng", "given" : "Peizhou", "non-dropping-particle" : "", "parse-names" : false, "suffix" : "" }, { "dropping-particle" : "", "family" : "Jiang", "given" : "Xuanting", "non-dropping-particle" : "", "parse-names" : false, "suffix" : "" }, { "dropping-particle" : "", "family" : "Li", "given" : "Juan", "non-dropping-particle" : "", "parse-names" : false, "suffix" : "" }, { "dropping-particle" : "", "family" : "Fan", "given" : "Dingding", "non-dropping-particle" : "", "parse-names" : false, "suffix" : "" }, { "dropping-particle" : "", "family" : "Wang", "given" : "Wei", "non-dropping-particle" : "", "parse-names" : false, "suffix" : "" }, { "dropping-particle" : "", "family" : "Fu", "given" : "Wenjing", "non-dropping-particle" : "", "parse-names" : false, "suffix" : "" }, { "dropping-particle" : "", "family" : "Wang", "given" : "Tong", "non-dropping-particle" : "", "parse-names" : false, "suffix" : "" }, { "dropping-particle" : "", "family" : "Wang", "given" : "Bo", "non-dropping-particle" : "", "parse-names" : false, "suffix" : "" }, { "dropping-particle" : "", "family" : "Zhang", "given" : "Jibiao", "non-dropping-particle" : "", "parse-names" : false, "suffix" : "" }, { "dropping-particle" : "", "family" : "Peng", "given" : "Zhiyu", "non-dropping-particle" : "", "parse-names" : false, "suffix" : "" }, { "dropping-particle" : "", "family" : "Li", "given" : "Yingxiang", "non-dropping-particle" : "", "parse-names" : false, "suffix" : "" }, { "dropping-particle" : "", "family" : "Li", "given" : "Na", "non-dropping-particle" : "", "parse-names" : false, "suffix" : "" }, { "dropping-particle" : "", "family" : "Wang", "given" : "Jinpeng", "non-dropping-particle" : "", "parse-names" : false, "suffix" : "" }, { "dropping-particle" : "", "family" : "Chen", "given" : "Maoshan", "non-dropping-particle" : "", "parse-names" : false, "suffix" : "" }, { "dropping-particle" : "", "family" : "He", "given" : "Yan", "non-dropping-particle" : "", "parse-names" : false, "suffix" : "" }, { "dropping-particle" : "", "family" : "Tan", "given" : "Fengji", "non-dropping-particle" : "", "parse-names" : false, "suffix" : "" }, { "dropping-particle" : "", "family" : "Song", "given" : "Xiaorui", "non-dropping-particle" : "", "parse-names" : false, "suffix" : "" }, { "dropping-particle" : "", "family" : "Zheng", "given" : "Qiumei", "non-dropping-particle" : "", "parse-names" : false, "suffix" : "" }, { "dropping-particle" : "", "family" : "Huang", "given" : "Ronglian", "non-dropping-particle" : "", "parse-names" : false, "suffix" : "" }, { "dropping-particle" : "", "family" : "Yang", "given" : "Hailong", "non-dropping-particle" : "", "parse-names" : false, "suffix" : "" }, { "dropping-particle" : "", "family" : "Du", "given" : "Xuedi", "non-dropping-particle" : "", "parse-names" : false, "suffix" : "" }, { "dropping-particle" : "", "family" : "Chen", "given" : "Li", "non-dropping-particle" : "", "parse-names" : false, "suffix" : "" }, { "dropping-particle" : "", "family" : "Yang", "given" : "Mei", "non-dropping-particle" : "", "parse-names" : false, "suffix" : "" }, { "dropping-particle" : "", "family" : "Gaffney", "given" : "Patrick M", "non-dropping-particle" : "", "parse-names" : false, "suffix" : "" }, { "dropping-particle" : "", "family" : "Wang", "given" : "Shan", "non-dropping-particle" : "", "parse-names" : false, "suffix" : "" }, { "dropping-particle" : "", "family" : "Luo", "given" : "Longhai", "non-dropping-particle" : "", "parse-names" : false, "suffix" : "" }, { "dropping-particle" : "", "family" : "She", "given" : "Zhicai", "non-dropping-particle" : "", "parse-names" : false, "suffix" : "" }, { "dropping-particle" : "", "family" : "Ming", "given" : "Yao", "non-dropping-particle" : "", "parse-names" : false, "suffix" : "" }, { "dropping-particle" : "", "family" : "Huang", "given" : "Wen", "non-dropping-particle" : "", "parse-names" : false, "suffix" : "" }, { "dropping-particle" : "", "family" : "Zhang", "given" : "Shu", "non-dropping-particle" : "", "parse-names" : false, "suffix" : "" }, { "dropping-particle" : "", "family" : "Huang", "given" : "Baoyu", "non-dropping-particle" : "", "parse-names" : false, "suffix" : "" }, { "dropping-particle" : "", "family" : "Zhang", "given" : "Yong", "non-dropping-particle" : "", "parse-names" : false, "suffix" : "" }, { "dropping-particle" : "", "family" : "Qu", "given" : "Tao", "non-dropping-particle" : "", "parse-names" : false, "suffix" : "" }, { "dropping-particle" : "", "family" : "Ni", "given" : "Peixiang", "non-dropping-particle" : "", "parse-names" : false, "suffix" : "" }, { "dropping-particle" : "", "family" : "Miao", "given" : "Guoying", "non-dropping-particle" : "", "parse-names" : false, "suffix" : "" }, { "dropping-particle" : "", "family" : "Wang", "given" : "Junyi", "non-dropping-particle" : "", "parse-names" : false, "suffix" : "" }, { "dropping-particle" : "", "family" : "Wang", "given" : "Qiang", "non-dropping-particle" : "", "parse-names" : false, "suffix" : "" }, { "dropping-particle" : "", "family" : "Steinberg", "given" : "Christian E W", "non-dropping-particle" : "", "parse-names" : false, "suffix" : "" }, { "dropping-particle" : "", "family" : "Wang", "given" : "Haiyan", "non-dropping-particle" : "", "parse-names" : false, "suffix" : "" }, { "dropping-particle" : "", "family" : "Li", "given" : "Ning", "non-dropping-particle" : "", "parse-names" : false, "suffix" : "" }, { "dropping-particle" : "", "family" : "Qian", "given" : "Lumin", "non-dropping-particle" : "", "parse-names" : false, "suffix" : "" }, { "dropping-particle" : "", "family" : "Zhang", "given" : "Guojie", "non-dropping-particle" : "", "parse-names" : false, "suffix" : "" }, { "dropping-particle" : "", "family" : "Li", "given" : "Yingrui", "non-dropping-particle" : "", "parse-names" : false, "suffix" : "" }, { "dropping-particle" : "", "family" : "Yang", "given" : "Huanming", "non-dropping-particle" : "", "parse-names" : false, "suffix" : "" }, { "dropping-particle" : "", "family" : "Liu", "given" : "Xiao", "non-dropping-particle" : "", "parse-names" : false, "suffix" : "" }, { "dropping-particle" : "", "family" : "Wang", "given" : "Jian", "non-dropping-particle" : "", "parse-names" : false, "suffix" : "" }, { "dropping-particle" : "", "family" : "Yin", "given" : "Ye", "non-dropping-particle" : "", "parse-names" : false, "suffix" : "" }, { "dropping-particle" : "", "family" : "Wang", "given" : "Jun", "non-dropping-particle" : "", "parse-names" : false, "suffix" : "" } ], "container-title" : "Nature", "id" : "ITEM-1", "issue" : "7418", "issued" : { "date-parts" : [ [ "2012", "10", "4" ] ] }, "page" : "49-54", "title" : "The oyster genome reveals stress adaptation and complexity of shell formation.", "type" : "article-journal", "volume" : "490" }, "uris" : [ "http://www.mendeley.com/documents/?uuid=1f5e5798-e240-456c-b025-d970e5975145" ] } ], "mendeley" : { "previouslyFormattedCitation" : "(Zhang et al., 2012)" }, "properties" : { "noteIndex" : 0 }, "schema" : "https://github.com/citation-style-language/schema/raw/master/csl-citation.json" }</w:instrText>
      </w:r>
      <w:r>
        <w:fldChar w:fldCharType="separate"/>
      </w:r>
      <w:r w:rsidRPr="00801654">
        <w:rPr>
          <w:noProof/>
        </w:rPr>
        <w:t>(Zhang et al., 2012)</w:t>
      </w:r>
      <w:r>
        <w:fldChar w:fldCharType="end"/>
      </w:r>
      <w:r>
        <w:t xml:space="preserve">.  Similarly, the </w:t>
      </w:r>
      <w:r w:rsidRPr="008F447B">
        <w:rPr>
          <w:i/>
        </w:rPr>
        <w:t>Daphnia pulex</w:t>
      </w:r>
      <w:r>
        <w:t xml:space="preserve"> genome </w:t>
      </w:r>
      <w:r w:rsidR="00357B4F">
        <w:t>contains</w:t>
      </w:r>
      <w:r>
        <w:t xml:space="preserve"> expanded gene families for photoreactive/photoresponsive genes as well as high rates of gene duplication that could provide the basis for </w:t>
      </w:r>
      <w:r w:rsidR="00581C49">
        <w:t>quick evolutionary responses</w:t>
      </w:r>
      <w:r>
        <w:t xml:space="preserve"> to environmental changes </w:t>
      </w:r>
      <w:r>
        <w:fldChar w:fldCharType="begin" w:fldLock="1"/>
      </w:r>
      <w:r>
        <w:instrText>ADDIN CSL_CITATION { "citationItems" : [ { "id" : "ITEM-1", "itemData" : { "DOI" : "10.1126/science.1197761", "ISSN" : "1095-9203", "PMID" : "21292972", "abstract" : "We describe the draft genome of the microcrustacean Daphnia pulex, which is only 200 megabases and contains at least 30,907 genes. The high gene count is a consequence of an elevated rate of gene duplication resulting in tandem gene clusters. More than a third of Daphnia's genes have no detectable homologs in any other available proteome, and the most amplified gene families are specific to the Daphnia lineage. The coexpansion of gene families interacting within metabolic pathways suggests that the maintenance of duplicated genes is not random, and the analysis of gene expression under different environmental conditions reveals that numerous paralogs acquire divergent expression patterns soon after duplication. Daphnia-specific genes, including many additional loci within sequenced regions that are otherwise devoid of annotations, are the most responsive genes to ecological challenges.", "author" : [ { "dropping-particle" : "", "family" : "Colbourne", "given" : "John K", "non-dropping-particle" : "", "parse-names" : false, "suffix" : "" }, { "dropping-particle" : "", "family" : "Pfrender", "given" : "Michael E", "non-dropping-particle" : "", "parse-names" : false, "suffix" : "" }, { "dropping-particle" : "", "family" : "Gilbert", "given" : "Donald", "non-dropping-particle" : "", "parse-names" : false, "suffix" : "" }, { "dropping-particle" : "", "family" : "Thomas", "given" : "W Kelley", "non-dropping-particle" : "", "parse-names" : false, "suffix" : "" }, { "dropping-particle" : "", "family" : "Tucker", "given" : "Abraham", "non-dropping-particle" : "", "parse-names" : false, "suffix" : "" }, { "dropping-particle" : "", "family" : "Oakley", "given" : "Todd H", "non-dropping-particle" : "", "parse-names" : false, "suffix" : "" }, { "dropping-particle" : "", "family" : "Tokishita", "given" : "Shinichi", "non-dropping-particle" : "", "parse-names" : false, "suffix" : "" }, { "dropping-particle" : "", "family" : "Aerts", "given" : "Andrea", "non-dropping-particle" : "", "parse-names" : false, "suffix" : "" }, { "dropping-particle" : "", "family" : "Arnold", "given" : "Georg J", "non-dropping-particle" : "", "parse-names" : false, "suffix" : "" }, { "dropping-particle" : "", "family" : "Basu", "given" : "Malay Kumar", "non-dropping-particle" : "", "parse-names" : false, "suffix" : "" }, { "dropping-particle" : "", "family" : "Bauer", "given" : "Darren J", "non-dropping-particle" : "", "parse-names" : false, "suffix" : "" }, { "dropping-particle" : "", "family" : "C\u00e1ceres", "given" : "Carla E", "non-dropping-particle" : "", "parse-names" : false, "suffix" : "" }, { "dropping-particle" : "", "family" : "Carmel", "given" : "Liran", "non-dropping-particle" : "", "parse-names" : false, "suffix" : "" }, { "dropping-particle" : "", "family" : "Casola", "given" : "Claudio", "non-dropping-particle" : "", "parse-names" : false, "suffix" : "" }, { "dropping-particle" : "", "family" : "Choi", "given" : "Jeong-Hyeon", "non-dropping-particle" : "", "parse-names" : false, "suffix" : "" }, { "dropping-particle" : "", "family" : "Detter", "given" : "John C", "non-dropping-particle" : "", "parse-names" : false, "suffix" : "" }, { "dropping-particle" : "", "family" : "Dong", "given" : "Qunfeng", "non-dropping-particle" : "", "parse-names" : false, "suffix" : "" }, { "dropping-particle" : "", "family" : "Dusheyko", "given" : "Serge", "non-dropping-particle" : "", "parse-names" : false, "suffix" : "" }, { "dropping-particle" : "", "family" : "Eads", "given" : "Brian D", "non-dropping-particle" : "", "parse-names" : false, "suffix" : "" }, { "dropping-particle" : "", "family" : "Fr\u00f6hlich", "given" : "Thomas", "non-dropping-particle" : "", "parse-names" : false, "suffix" : "" }, { "dropping-particle" : "", "family" : "Geiler-Samerotte", "given" : "Kerry a", "non-dropping-particle" : "", "parse-names" : false, "suffix" : "" }, { "dropping-particle" : "", "family" : "Gerlach", "given" : "Daniel", "non-dropping-particle" : "", "parse-names" : false, "suffix" : "" }, { "dropping-particle" : "", "family" : "Hatcher", "given" : "Phil", "non-dropping-particle" : "", "parse-names" : false, "suffix" : "" }, { "dropping-particle" : "", "family" : "Jogdeo", "given" : "Sanjuro", "non-dropping-particle" : "", "parse-names" : false, "suffix" : "" }, { "dropping-particle" : "", "family" : "Krijgsveld", "given" : "Jeroen", "non-dropping-particle" : "", "parse-names" : false, "suffix" : "" }, { "dropping-particle" : "V", "family" : "Kriventseva", "given" : "Evgenia", "non-dropping-particle" : "", "parse-names" : false, "suffix" : "" }, { "dropping-particle" : "", "family" : "K\u00fcltz", "given" : "Dietmar", "non-dropping-particle" : "", "parse-names" : false, "suffix" : "" }, { "dropping-particle" : "", "family" : "Laforsch", "given" : "Christian", "non-dropping-particle" : "", "parse-names" : false, "suffix" : "" }, { "dropping-particle" : "", "family" : "Lindquist", "given" : "Erika", "non-dropping-particle" : "", "parse-names" : false, "suffix" : "" }, { "dropping-particle" : "", "family" : "Lopez", "given" : "Jacqueline", "non-dropping-particle" : "", "parse-names" : false, "suffix" : "" }, { "dropping-particle" : "", "family" : "Manak", "given" : "J Robert", "non-dropping-particle" : "", "parse-names" : false, "suffix" : "" }, { "dropping-particle" : "", "family" : "Muller", "given" : "Jean", "non-dropping-particle" : "", "parse-names" : false, "suffix" : "" }, { "dropping-particle" : "", "family" : "Pangilinan", "given" : "Jasmyn", "non-dropping-particle" : "", "parse-names" : false, "suffix" : "" }, { "dropping-particle" : "", "family" : "Patwardhan", "given" : "Rupali P", "non-dropping-particle" : "", "parse-names" : false, "suffix" : "" }, { "dropping-particle" : "", "family" : "Pitluck", "given" : "Samuel", "non-dropping-particle" : "", "parse-names" : false, "suffix" : "" }, { "dropping-particle" : "", "family" : "Pritham", "given" : "Ellen J", "non-dropping-particle" : "", "parse-names" : false, "suffix" : "" }, { "dropping-particle" : "", "family" : "Rechtsteiner", "given" : "Andreas", "non-dropping-particle" : "", "parse-names" : false, "suffix" : "" }, { "dropping-particle" : "", "family" : "Rho", "given" : "Mina", "non-dropping-particle" : "", "parse-names" : false, "suffix" : "" }, { "dropping-particle" : "", "family" : "Rogozin", "given" : "Igor B", "non-dropping-particle" : "", "parse-names" : false, "suffix" : "" }, { "dropping-particle" : "", "family" : "Sakarya", "given" : "Onur", "non-dropping-particle" : "", "parse-names" : false, "suffix" : "" }, { "dropping-particle" : "", "family" : "Salamov", "given" : "Asaf", "non-dropping-particle" : "", "parse-names" : false, "suffix" : "" }, { "dropping-particle" : "", "family" : "Schaack", "given" : "Sarah", "non-dropping-particle" : "", "parse-names" : false, "suffix" : "" }, { "dropping-particle" : "", "family" : "Shapiro", "given" : "Harris", "non-dropping-particle" : "", "parse-names" : false, "suffix" : "" }, { "dropping-particle" : "", "family" : "Shiga", "given" : "Yasuhiro", "non-dropping-particle" : "", "parse-names" : false, "suffix" : "" }, { "dropping-particle" : "", "family" : "Skalitzky", "given" : "Courtney", "non-dropping-particle" : "", "parse-names" : false, "suffix" : "" }, { "dropping-particle" : "", "family" : "Smith", "given" : "Zachary", "non-dropping-particle" : "", "parse-names" : false, "suffix" : "" }, { "dropping-particle" : "", "family" : "Souvorov", "given" : "Alexander", "non-dropping-particle" : "", "parse-names" : false, "suffix" : "" }, { "dropping-particle" : "", "family" : "Sung", "given" : "Way", "non-dropping-particle" : "", "parse-names" : false, "suffix" : "" }, { "dropping-particle" : "", "family" : "Tang", "given" : "Zuojian", "non-dropping-particle" : "", "parse-names" : false, "suffix" : "" }, { "dropping-particle" : "", "family" : "Tsuchiya", "given" : "Dai", "non-dropping-particle" : "", "parse-names" : false, "suffix" : "" }, { "dropping-particle" : "", "family" : "Tu", "given" : "Hank", "non-dropping-particle" : "", "parse-names" : false, "suffix" : "" }, { "dropping-particle" : "", "family" : "Vos", "given" : "Harmjan", "non-dropping-particle" : "", "parse-names" : false, "suffix" : "" }, { "dropping-particle" : "", "family" : "Wang", "given" : "Mei", "non-dropping-particle" : "", "parse-names" : false, "suffix" : "" }, { "dropping-particle" : "", "family" : "Wolf", "given" : "Yuri I", "non-dropping-particle" : "", "parse-names" : false, "suffix" : "" }, { "dropping-particle" : "", "family" : "Yamagata", "given" : "Hideo", "non-dropping-particle" : "", "parse-names" : false, "suffix" : "" }, { "dropping-particle" : "", "family" : "Yamada", "given" : "Takuji", "non-dropping-particle" : "", "parse-names" : false, "suffix" : "" }, { "dropping-particle" : "", "family" : "Ye", "given" : "Yuzhen", "non-dropping-particle" : "", "parse-names" : false, "suffix" : "" }, { "dropping-particle" : "", "family" : "Shaw", "given" : "Joseph R", "non-dropping-particle" : "", "parse-names" : false, "suffix" : "" }, { "dropping-particle" : "", "family" : "Andrews", "given" : "Justen", "non-dropping-particle" : "", "parse-names" : false, "suffix" : "" }, { "dropping-particle" : "", "family" : "Crease", "given" : "Teresa J", "non-dropping-particle" : "", "parse-names" : false, "suffix" : "" }, { "dropping-particle" : "", "family" : "Tang", "given" : "Haixu", "non-dropping-particle" : "", "parse-names" : false, "suffix" : "" }, { "dropping-particle" : "", "family" : "Lucas", "given" : "Susan M", "non-dropping-particle" : "", "parse-names" : false, "suffix" : "" }, { "dropping-particle" : "", "family" : "Robertson", "given" : "Hugh M", "non-dropping-particle" : "", "parse-names" : false, "suffix" : "" }, { "dropping-particle" : "", "family" : "Bork", "given" : "Peer", "non-dropping-particle" : "", "parse-names" : false, "suffix" : "" }, { "dropping-particle" : "V", "family" : "Koonin", "given" : "Eugene", "non-dropping-particle" : "", "parse-names" : false, "suffix" : "" }, { "dropping-particle" : "", "family" : "Zdobnov", "given" : "Evgeny M", "non-dropping-particle" : "", "parse-names" : false, "suffix" : "" }, { "dropping-particle" : "V", "family" : "Grigoriev", "given" : "Igor", "non-dropping-particle" : "", "parse-names" : false, "suffix" : "" }, { "dropping-particle" : "", "family" : "Lynch", "given" : "Michael", "non-dropping-particle" : "", "parse-names" : false, "suffix" : "" }, { "dropping-particle" : "", "family" : "Boore", "given" : "Jeffrey L", "non-dropping-particle" : "", "parse-names" : false, "suffix" : "" } ], "container-title" : "Science (New York, N.Y.)", "id" : "ITEM-1", "issue" : "6017", "issued" : { "date-parts" : [ [ "2011", "2", "4" ] ] }, "page" : "555-61", "title" : "The ecoresponsive genome of Daphnia pulex.", "type" : "article-journal", "volume" : "331" }, "uris" : [ "http://www.mendeley.com/documents/?uuid=d9e79a91-d9f2-4e77-8a72-7fe6f020f75d" ] } ], "mendeley" : { "previouslyFormattedCitation" : "(Colbourne et al., 2011)" }, "properties" : { "noteIndex" : 0 }, "schema" : "https://github.com/citation-style-language/schema/raw/master/csl-citation.json" }</w:instrText>
      </w:r>
      <w:r>
        <w:fldChar w:fldCharType="separate"/>
      </w:r>
      <w:r w:rsidRPr="00801654">
        <w:rPr>
          <w:noProof/>
        </w:rPr>
        <w:t>(Colbourne et al., 2011)</w:t>
      </w:r>
      <w:r>
        <w:fldChar w:fldCharType="end"/>
      </w:r>
      <w:r>
        <w:t xml:space="preserve">.  </w:t>
      </w:r>
    </w:p>
    <w:p w14:paraId="1B4DAAAA" w14:textId="6F12FE51" w:rsidR="006315D6" w:rsidRDefault="006315D6" w:rsidP="006315D6">
      <w:pPr>
        <w:spacing w:line="360" w:lineRule="auto"/>
        <w:ind w:firstLine="720"/>
      </w:pPr>
      <w:r>
        <w:t>Transcriptomics, or high throughput sequencing of mRNA, can also illustrate evolutionary-scale changes since single nucleotide polymorphisms (SNP</w:t>
      </w:r>
      <w:r w:rsidR="00357B4F">
        <w:t>s</w:t>
      </w:r>
      <w:r>
        <w:t xml:space="preserve">) are found at the DNA and mRNA levels.  SNP frequency data at the transcriptomic level were used to evidence an adaptive response of sea urchin larvae to elevated </w:t>
      </w:r>
      <w:r w:rsidRPr="008F447B">
        <w:rPr>
          <w:i/>
        </w:rPr>
        <w:t>p</w:t>
      </w:r>
      <w:r>
        <w:t>CO</w:t>
      </w:r>
      <w:r w:rsidRPr="008F447B">
        <w:rPr>
          <w:vertAlign w:val="subscript"/>
        </w:rPr>
        <w:t>2</w:t>
      </w:r>
      <w:r>
        <w:t xml:space="preserve">, specifically in genes involved in lipid metabolism, ion homeostasis, cell signaling, and protein modifications </w:t>
      </w:r>
      <w:r>
        <w:fldChar w:fldCharType="begin" w:fldLock="1"/>
      </w:r>
      <w: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"mendeley" : { "previouslyFormattedCitation" : "(Pespeni et al., 2013)" }, "properties" : { "noteIndex" : 0 }, "schema" : "https://github.com/citation-style-language/schema/raw/master/csl-citation.json" }</w:instrText>
      </w:r>
      <w:r>
        <w:fldChar w:fldCharType="separate"/>
      </w:r>
      <w:r w:rsidRPr="00801654">
        <w:rPr>
          <w:noProof/>
        </w:rPr>
        <w:t>(Pespeni et al., 2013)</w:t>
      </w:r>
      <w:r>
        <w:fldChar w:fldCharType="end"/>
      </w:r>
      <w:r>
        <w:t xml:space="preserve">.  Gene expression data can also elucidate functional molecular responses to an environmental change.   In </w:t>
      </w:r>
      <w:r w:rsidRPr="008F447B">
        <w:rPr>
          <w:i/>
        </w:rPr>
        <w:t>C. gigas</w:t>
      </w:r>
      <w:r>
        <w:t xml:space="preserve">, </w:t>
      </w:r>
      <w:r w:rsidR="00581C49">
        <w:t>mRNA</w:t>
      </w:r>
      <w:r>
        <w:t xml:space="preserve"> sequencing revealed that the oyster transcriptomic response to elevated </w:t>
      </w:r>
      <w:r w:rsidRPr="008F447B">
        <w:rPr>
          <w:i/>
        </w:rPr>
        <w:t>p</w:t>
      </w:r>
      <w:r>
        <w:t>CO</w:t>
      </w:r>
      <w:r w:rsidRPr="008F447B">
        <w:rPr>
          <w:vertAlign w:val="subscript"/>
        </w:rPr>
        <w:t>2</w:t>
      </w:r>
      <w:r>
        <w:t xml:space="preserve"> differed between different temperatures </w:t>
      </w:r>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801654">
        <w:rPr>
          <w:noProof/>
        </w:rPr>
        <w:t>(Clark et al., 2013)</w:t>
      </w:r>
      <w:r>
        <w:fldChar w:fldCharType="end"/>
      </w:r>
      <w:r>
        <w:t xml:space="preserve">.  </w:t>
      </w:r>
    </w:p>
    <w:p w14:paraId="0D98EA11" w14:textId="4977538F" w:rsidR="006315D6" w:rsidRDefault="006315D6" w:rsidP="006315D6">
      <w:pPr>
        <w:spacing w:line="360" w:lineRule="auto"/>
        <w:ind w:firstLine="720"/>
      </w:pPr>
      <w:r>
        <w:t xml:space="preserve">Lastly, proteomics provide insight into the truly functional changes that occur at the molecular level in response to different habitats or environmental change.  Proteins are functional molecules that effect changes at the phenotypic level (whereas changes in gene expression may not always translate into changes in protein expression).  Proteomics have been used to reveal physiological changes that underlie adaptation to different environmental salinities in European whitefish </w:t>
      </w:r>
      <w:r>
        <w:fldChar w:fldCharType="begin" w:fldLock="1"/>
      </w:r>
      <w:r>
        <w:instrText>ADDIN CSL_CITATION { "citationItems" : [ { "id" : "ITEM-1", "itemData" : { "DOI" : "10.1111/j.1365-294X.2012.05553.x", "ISSN" : "1365-294X", "PMID" : "22486940", "abstract" : "Osmoregulation is a vital physiological function for fish, as it helps maintain a stable intracellular concentration of ions in environments of variable salinities. We focused on a primarily freshwater species, the European whitefish (Coregonus lavaretus), to investigate the molecular mechanisms underlying salinity tolerance and examine whether these mechanisms differ between genetically similar populations that spawn in freshwater vs. brackishwater environments. A common garden experiment involving 27 families in two populations and five salinity treatments together with a large-scale, high-resolution mass spectrometry experiment that quantified 1500 proteins was conducted to assess phenotypic and proteomic responses during early development, from fertilization until hatching, in the studied populations. The populations displayed drastically different phenotypic and proteomic responses to salinity. Freshwater-spawning whitefish showed a significantly higher mortality rate in higher salinity treatments. Calcium, an ion involved in osmotic stress sensing, had a central role in the observed proteomic responses. Brackishwater-spawning fish were capable of viable osmoregulation, which was modulated by cortisol, an important seawater-adaptation hormone in teleost fish. Several proteins were identified to play key roles in osmoregulation, most importantly a highly conserved cytokine, tumour necrosis factor, whereas calcium receptor activities were associated with salinity adaptation. These results imply that individuals from these populations are most likely adapted to their local environments, even though the baseline level of genetic divergence between them is low (F(ST)=0.049). They also provide clues for choosing candidate loci for studying the molecular basis of salinity adaptation in other species. Further, our approach provides an example of how proteomic methods can be successfully used to obtain novel insights into the molecular mechanisms behind adaptation in non-model organism.", "author" : [ { "dropping-particle" : "", "family" : "Papakostas", "given" : "Spiros", "non-dropping-particle" : "", "parse-names" : false, "suffix" : "" }, { "dropping-particle" : "", "family" : "Vasem\u00e4gi", "given" : "Anti", "non-dropping-particle" : "", "parse-names" : false, "suffix" : "" }, { "dropping-particle" : "", "family" : "V\u00e4h\u00e4", "given" : "Juha-Pekka", "non-dropping-particle" : "", "parse-names" : false, "suffix" : "" }, { "dropping-particle" : "", "family" : "Himberg", "given" : "Mikael", "non-dropping-particle" : "", "parse-names" : false, "suffix" : "" }, { "dropping-particle" : "", "family" : "Peil", "given" : "Lauri", "non-dropping-particle" : "", "parse-names" : false, "suffix" : "" }, { "dropping-particle" : "", "family" : "Primmer", "given" : "Craig R", "non-dropping-particle" : "", "parse-names" : false, "suffix" : "" } ], "container-title" : "Molecular ecology", "id" : "ITEM-1", "issue" : "14", "issued" : { "date-parts" : [ [ "2012", "7" ] ] }, "page" : "3516-30", "title" : "A proteomics approach reveals divergent molecular responses to salinity in populations of European whitefish (Coregonus lavaretus).", "type" : "article-journal", "volume" : "21" }, "uris" : [ "http://www.mendeley.com/documents/?uuid=86f79b71-b689-4f63-8b4e-0234720a9416" ] } ], "mendeley" : { "previouslyFormattedCitation" : "(Papakostas et al., 2012)" }, "properties" : { "noteIndex" : 0 }, "schema" : "https://github.com/citation-style-language/schema/raw/master/csl-citation.json" }</w:instrText>
      </w:r>
      <w:r>
        <w:fldChar w:fldCharType="separate"/>
      </w:r>
      <w:r w:rsidRPr="00801654">
        <w:rPr>
          <w:noProof/>
        </w:rPr>
        <w:t>(Papakostas et al., 2012)</w:t>
      </w:r>
      <w:r>
        <w:fldChar w:fldCharType="end"/>
      </w:r>
      <w:r>
        <w:t xml:space="preserve">, proteins that are associated with specific behavioral traits in the honey bee </w:t>
      </w:r>
      <w:r>
        <w:fldChar w:fldCharType="begin" w:fldLock="1"/>
      </w:r>
      <w:r>
        <w:instrText>ADDIN CSL_CITATION { "citationItems" : [ { "id" : "ITEM-1", "itemData" : { "DOI" : "10.1186/gb-2012-13-9-r81", "ISSN" : "1465-6914", "PMID" : "23021491", "abstract" : "BACKGROUND: Disease is a major factor driving the evolution of many organisms. In honey bees, selection for social behavioral responses is the primary adaptive process facilitating disease resistance. One such process, hygienic behavior, enables bees to resist multiple diseases, including the damaging parasitic mite Varroa destructor. The genetic elements and biochemical factors that drive the expression of these adaptations are currently unknown. Proteomics provides a tool to identify proteins that control behavioral processes, and these proteins can be used as biomarkers to aid identification of disease tolerant colonies.\n\nRESULTS: We sampled a large cohort of commercial queen lineages, recording overall mite infestation, hygiene, and the specific hygienic response to V. destructor. We performed proteome-wide correlation analyses in larval integument and adult antennae, identifying several proteins highly predictive of behavior and reduced hive infestation. In the larva, response to wounding was identified as a key adaptive process leading to reduced infestation, and chitin biosynthesis and immune responses appear to represent important disease resistant adaptations. The speed of hygienic behavior may be underpinned by changes in the antenna proteome, and chemosensory and neurological processes could also provide specificity for detection of V. destructor in antennae.\n\nCONCLUSIONS: Our results provide, for the first time, some insight into how complex behavioural adaptations manifest in the proteome of honey bees. The most important biochemical correlations provide clues as to the underlying molecular mechanisms of social and innate immunity of honey bees. Such changes are indicative of potential divergence in processes controlling the hive-worker maturation.", "author" : [ { "dropping-particle" : "", "family" : "Parker", "given" : "Robert", "non-dropping-particle" : "", "parse-names" : false, "suffix" : "" }, { "dropping-particle" : "", "family" : "Guarna", "given" : "M Marta", "non-dropping-particle" : "", "parse-names" : false, "suffix" : "" }, { "dropping-particle" : "", "family" : "Melathopoulos", "given" : "Andony P", "non-dropping-particle" : "", "parse-names" : false, "suffix" : "" }, { "dropping-particle" : "", "family" : "Moon", "given" : "Kyung-Mee", "non-dropping-particle" : "", "parse-names" : false, "suffix" : "" }, { "dropping-particle" : "", "family" : "White", "given" : "Rick", "non-dropping-particle" : "", "parse-names" : false, "suffix" : "" }, { "dropping-particle" : "", "family" : "Huxter", "given" : "Elizabeth", "non-dropping-particle" : "", "parse-names" : false, "suffix" : "" }, { "dropping-particle" : "", "family" : "Pernal", "given" : "Stephen F", "non-dropping-particle" : "", "parse-names" : false, "suffix" : "" }, { "dropping-particle" : "", "family" : "Foster", "given" : "Leonard J", "non-dropping-particle" : "", "parse-names" : false, "suffix" : "" } ], "container-title" : "Genome biology", "id" : "ITEM-1", "issue" : "9", "issued" : { "date-parts" : [ [ "2012", "1" ] ] }, "page" : "R81", "title" : "Correlation of proteome-wide changes with social immunity behaviors provides insight into resistance to the parasitic mite, Varroa destructor, in the honey bee (Apis mellifera).", "type" : "article-journal", "volume" : "13" }, "uris" : [ "http://www.mendeley.com/documents/?uuid=b4a33ae8-0665-4379-85b6-00c60c18eb88" ] } ], "mendeley" : { "previouslyFormattedCitation" : "(R. Parker et al., 2012)" }, "properties" : { "noteIndex" : 0 }, "schema" : "https://github.com/citation-style-language/schema/raw/master/csl-citation.json" }</w:instrText>
      </w:r>
      <w:r>
        <w:fldChar w:fldCharType="separate"/>
      </w:r>
      <w:r w:rsidRPr="00801654">
        <w:rPr>
          <w:noProof/>
        </w:rPr>
        <w:t>(R. Parker et al., 2012)</w:t>
      </w:r>
      <w:r>
        <w:fldChar w:fldCharType="end"/>
      </w:r>
      <w:r>
        <w:t xml:space="preserve">, as well as general changes in overall protein expression in response to a specific environmental stress </w:t>
      </w:r>
      <w:r>
        <w:fldChar w:fldCharType="begin" w:fldLock="1"/>
      </w:r>
      <w: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"author" : [ { "dropping-particle" : "", "family" : "Parker", "given" : "Laura M.", "non-dropping-particle" : "", "parse-names" : false, "suffix" : "" }, { "dropping-particle" : "", "family" : "Ross", "given" : "Pauline M.", "non-dropping-particle" : "", "parse-names" : false, "suffix" : "" }, { "dropping-particle" : "", "family" : "Raftos", "given" : "David", "non-dropping-particle" : "", "parse-names" : false, "suffix" : "" }, { "dropping-particle" : "", "family" : "Thompson", "given" : "Emma", "non-dropping-particle" : "", "parse-names" : false, "suffix" : "" }, { "dropping-particle" : "", "family" : "O'Connor", "given" : "Wayne A.", "non-dropping-particle" : "", "parse-names" : false, "suffix" : "" } ], "container-title" : "Australian zoologist", "id" : "ITEM-3", "issue" : "4", "issued" : { "date-parts" : [ [ "2011" ] ] }, "page" : "1011-1023", "title" : "The proteomic response of larvae of the Sydney rock oyster, Saccostrea glomerata to elevated pCO2", "type" : "article-journal", "volume" : "35" }, "uris" : [ "http://www.mendeley.com/documents/?uuid=466e3b22-1a89-420f-b57e-51175c62337d" ] }, { "id" : "ITEM-4", "itemData" : { "DOI" : "10.1016/j.cbd.2011.08.002", "ISSN" : "1878-0407", "PMID" : "21914563", "abstract" : "Intertidal blue mussels display physiological adaptations to emersion-submersion cycle that can be impacted by response to chemicals. In order to study the interference of cellular response to pollutants on intertidal physiology, we analysed proteomic (2-DE) responses in gills of mussels exposed for 14 days to regular emersion (intertidal condition) or continuous submersion (subtidal condition) and to a mixture (B[a]P/phenantrene) of polycyclic aromatic hydrocarbons (PAHs). Antioxidant activities were measured as general stress markers. In clean context, emersion generated several over-expressions of proteins mainly involved in cytoskeleton, chaperoning, energetic metabolism and transcription regulation. Mussels exposed to PAHs showed equivalent accumulation levels of contaminants in both physiological conditions but an increased GST activity specifically in intertidal context, highlighting the high degree of stress underwent in this group, as well as over-expressions of Cu/Zn SOD and stress proteins in subtidal context. Presence of contaminants partly impacted the response to emersion: cytoskeletal rearrangements and energetic adjustments were mostly maintained whereas stress response was dramatically altered. These findings highlight the potential adverse effects of toxicants on physiological adjustments linked to air-exposure, thus suggesting to take into account in the evaluation of environmental risk the multiplicity of stresses that wild animals are likely to encounter.", "author" : [ { "dropping-particle" : "", "family" : "Letendre", "given" : "Julie", "non-dropping-particle" : "", "parse-names" : false, "suffix" : "" }, { "dropping-particle" : "", "family" : "Dupont-Rouzeyrol", "given" : "Myrielle", "non-dropping-particle" : "", "parse-names" : false, "suffix" : "" }, { "dropping-particle" : "", "family" : "Hanquet", "given" : "Anne-Caroline", "non-dropping-particle" : "", "parse-names" : false, "suffix" : "" }, { "dropping-particle" : "", "family" : "Durand", "given" : "Fabrice", "non-dropping-particle" : "", "parse-names" : false, "suffix" : "" }, { "dropping-particle" : "", "family" : "Budzinski", "given" : "H\u00e9l\u00e8ne", "non-dropping-particle" : "", "parse-names" : false, "suffix" : "" }, { "dropping-particle" : "", "family" : "Chan", "given" : "Philippe", "non-dropping-particle" : "", "parse-names" : false, "suffix" : "" }, { "dropping-particle" : "", "family" : "Vaudry", "given" : "David", "non-dropping-particle" : "", "parse-names" : false, "suffix" : "" }, { "dropping-particle" : "", "family" : "Rocher", "given" : "B\u00e9atrice", "non-dropping-particle" : "", "parse-names" : false, "suffix" : "" } ], "container-title" : "Comparative biochemistry and physiology. Part D, Genomics &amp; proteomics", "id" : "ITEM-4", "issue" : "4", "issued" : { "date-parts" : [ [ "2011", "12" ] ] }, "page" : "357-69", "publisher" : "Elsevier Inc.", "title" : "Impact of toxicant exposure on the proteomic response to intertidal condition in Mytilus edulis.", "type" : "article-journal", "volume" : "6" }, "uris" : [ "http://www.mendeley.com/documents/?uuid=33c1c7cf-6a8e-4286-8ccb-211b85431ca6" ] }, { "id" : "ITEM-5",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"ITEM-5",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"id" : "ITEM-6", "itemData" : { "DOI" : "10.1371/journal.pone.0061868", "ISSN" : "1932-6203", "PMID" : "23593500", "abstract" : "Ocean acidification due to rising atmospheric CO2 is expected to affect the physiology of important calcifying marine organisms, but the nature and magnitude of change is yet to be established. In coccolithophores, different species and strains display varying calcification responses to ocean acidification, but the underlying biochemical properties remain unknown. We employed an approach combining tandem mass-spectrometry with isobaric tagging (iTRAQ) and multiple database searching to identify proteins that were differentially expressed in cells of the marine coccolithophore species Emiliania huxleyi (strain NZEH) between two CO2 conditions: 395 (\u223ccurrent day) and \u223c1340 p.p.m.v. CO2. Cells exposed to the higher CO2 condition contained more cellular particulate inorganic carbon (CaCO3) and particulate organic nitrogen and carbon than those maintained in present-day conditions. These results are linked with the observation that cells grew slower under elevated CO2, indicating cell cycle disruption. Under high CO2 conditions, coccospheres were larger and cells possessed bigger coccoliths that did not show any signs of malformation compared to those from cells grown under present-day CO2 levels. No differences in calcification rate, particulate organic carbon production or cellular organic carbon: nitrogen ratios were observed. Results were not related to nutrient limitation or acclimation status of cells. At least 46 homologous protein groups from a variety of functional processes were quantified in these experiments, of which four (histones H2A, H3, H4 and a chloroplastic 30S ribosomal protein S7) showed down-regulation in all replicates exposed to high CO2, perhaps reflecting the decrease in growth rate. We present evidence of cellular stress responses but proteins associated with many key metabolic processes remained unaltered. Our results therefore suggest that this E. huxleyi strain possesses some acclimation mechanisms to tolerate future CO2 scenarios, although the observed decline in growth rate may be an overriding factor affecting the success of this ecotype in future oceans.", "author" : [ { "dropping-particle" : "", "family" : "Jones", "given" : "Bethan M", "non-dropping-particle" : "", "parse-names" : false, "suffix" : "" }, { "dropping-particle" : "", "family" : "Iglesias-Rodriguez", "given" : "M Debora", "non-dropping-particle" : "", "parse-names" : false, "suffix" : "" }, { "dropping-particle" : "", "family" : "Skipp", "given" : "Paul J", "non-dropping-particle" : "", "parse-names" : false, "suffix" : "" }, { "dropping-particle" : "", "family" : "Edwards", "given" : "Richard J", "non-dropping-particle" : "", "parse-names" : false, "suffix" : "" }, { "dropping-particle" : "", "family" : "Greaves", "given" : "Mervyn J", "non-dropping-particle" : "", "parse-names" : false, "suffix" : "" }, { "dropping-particle" : "", "family" : "Young", "given" : "Jeremy R", "non-dropping-particle" : "", "parse-names" : false, "suffix" : "" }, { "dropping-particle" : "", "family" : "Elderfield", "given" : "Henry", "non-dropping-particle" : "", "parse-names" : false, "suffix" : "" }, { "dropping-particle" : "", "family" : "O'Connor", "given" : "C David", "non-dropping-particle" : "", "parse-names" : false, "suffix" : "" } ], "container-title" : "PloS one", "id" : "ITEM-6", "issue" : "4", "issued" : { "date-parts" : [ [ "2013", "1" ] ] }, "page" : "e61868", "title" : "Responses of the Emiliania huxleyi proteome to ocean acidification.", "type" : "article-journal", "volume" : "8" }, "uris" : [ "http://www.mendeley.com/documents/?uuid=d91838fe-95cb-422f-bd2c-a6d3fccee314" ] }, { "id" : "ITEM-7", "itemData" : { "DOI" : "10.1021/pr4006316", "ISSN" : "1535-3907", "PMID" : "23972258", "abstract" : "Cyanobacterial toxins and pesticides regularly impact freshwaters. Microcystin-LR is one of the most toxic and common cyanobacterial toxins whereas glyphosate is the active ingredient of a widely use herbicide. As filter feeders, freshwater mussels are particularly exposed. Like many native bivalve species, Unio pictorum suffers from a continuous decline in Europe. In order to get a deeper insight of its response to contaminants, U. pictorum was exposed to either 10 \u03bcg L(-1) of microcystin-LR or 10 \u03bcg L(-1) of glyphosate or a mixture of both. Proteins of the digestive glands were extracted and analyzed by DIGE. Gel analysis revealed 103 spots with statistical variations, and the response seems to be less toward glyphosate than to microcystin-LR. Specific spots have variations only when exposed to the mixture, showing that there is an interaction of both contaminants in the responses triggered. The proteins of 30 spots have been identified. They belong mostly to the cytoskeleton family, but proteins of the oxidative pathway, detoxification, and energetic metabolism were affected either by glyphosate or microcystin-LR or by the mixture. These results demonstrate the importance to study contaminants at low concentrations representative of those found in the field and that multicontaminations can lead to different response pathways.", "author" : [ { "dropping-particle" : "", "family" : "Mal\u00e9cot", "given" : "M\u00e9lodie", "non-dropping-particle" : "", "parse-names" : false, "suffix" : "" }, { "dropping-particle" : "", "family" : "Gu\u00e9vel", "given" : "Blandine", "non-dropping-particle" : "", "parse-names" : false, "suffix" : "" }, { "dropping-particle" : "", "family" : "Pineau", "given" : "Charles", "non-dropping-particle" : "", "parse-names" : false, "suffix" : "" }, { "dropping-particle" : "", "family" : "Holbech", "given" : "Bente Frost", "non-dropping-particle" : "", "parse-names" : false, "suffix" : "" }, { "dropping-particle" : "", "family" : "Bormans", "given" : "Myriam", "non-dropping-particle" : "", "parse-names" : false, "suffix" : "" }, { "dropping-particle" : "", "family" : "Wiegand", "given" : "Claudia", "non-dropping-particle" : "", "parse-names" : false, "suffix" : "" } ], "container-title" : "Journal of proteome research", "id" : "ITEM-7", "issue" : "11", "issued" : { "date-parts" : [ [ "2013", "11", "1" ] ] }, "page" : "5281-92", "title" : "Specific proteomic response of Unio pictorum mussel to a mixture of glyphosate and microcystin-LR.", "type" : "article-journal", "volume" : "12" }, "uris" : [ "http://www.mendeley.com/documents/?uuid=480e8e7b-d754-4001-b522-713422736a0c" ] } ], "mendeley" : { "manualFormatting" : "(Dineshram et al., 2013; Jones et al., 2013; Letendre et al., 2011; Mal\u00e9cot et al., 2013; Parker et al., 2011; Tomanek et al., 2011; Wong et al., 2011)", "previouslyFormattedCitation" : "(Dineshram et al., 2013; Jones et al., 2013; Letendre et al., 2011; Mal\u00e9cot et al., 2013; L. M. Parker, Ross, Raftos, Thompson, &amp; O\u2019Connor, 2011; Tomanek et al., 2011; Wong, Lane, Leung, &amp; Thiyagarajan, 2011)" }, "properties" : { "noteIndex" : 0 }, "schema" : "https://github.com/citation-style-language/schema/raw/master/csl-citation.json" }</w:instrText>
      </w:r>
      <w:r>
        <w:fldChar w:fldCharType="separate"/>
      </w:r>
      <w:r w:rsidRPr="00375E80">
        <w:rPr>
          <w:noProof/>
        </w:rPr>
        <w:t>(Dineshram et al., 2013; Jones et al., 2013; Letendre et al., 20</w:t>
      </w:r>
      <w:r>
        <w:rPr>
          <w:noProof/>
        </w:rPr>
        <w:t>11; Malécot et al., 2013; Parker et al.</w:t>
      </w:r>
      <w:r w:rsidRPr="00375E80">
        <w:rPr>
          <w:noProof/>
        </w:rPr>
        <w:t>, 20</w:t>
      </w:r>
      <w:r>
        <w:rPr>
          <w:noProof/>
        </w:rPr>
        <w:t>11; Tomanek et al., 2011; Wong et al.</w:t>
      </w:r>
      <w:r w:rsidRPr="00375E80">
        <w:rPr>
          <w:noProof/>
        </w:rPr>
        <w:t>, 2011)</w:t>
      </w:r>
      <w:r>
        <w:fldChar w:fldCharType="end"/>
      </w:r>
      <w:r>
        <w:t xml:space="preserve">.  Changes in post-translational modifications (specifically phosphorylation status), which also play a role in whether or </w:t>
      </w:r>
      <w:r w:rsidR="00581C49">
        <w:t>not a protein is expressed, can</w:t>
      </w:r>
      <w:r>
        <w:t xml:space="preserve"> be investigated using phosphoproteomics (e.g. </w:t>
      </w:r>
      <w:r w:rsidRPr="00375E80">
        <w:fldChar w:fldCharType="begin" w:fldLock="1"/>
      </w:r>
      <w:r w:rsidRPr="00375E80">
        <w:instrText>ADDIN CSL_CITATION { "citationItems" : [ { "id" : "ITEM-1", "itemData" : { "DOI" : "10.1186/1471-2164-14-766", "ISSN" : "1471-2164", "PMID" : "24199871", "abstract" : "BACKGROUND: Honeybee venom is a complicated defensive toxin that has a wide range of pharmacologically active compounds. Some of these compounds are useful for human therapeutics. There are two major forms of honeybee venom used in pharmacological applications: manually (or reservoir disrupting) extracted glandular venom (GV), and venom extracted through the use of electrical stimulation (ESV). A proteome comparison of these two venom forms and an understanding of the phosphorylation status of ESV, are still very limited. Here, the proteomes of GV and ESV were compared using both gel-based and gel-free proteomics approaches and the phosphoproteome of ESV was determined through the use of TiO2 enrichment.\n\nRESULTS: Of the 43 proteins identified in GV, &lt; 40% were venom toxins, and &gt; 60% of the proteins were non-toxic proteins resulting from contamination by gland tissue damage during extraction and bee death. Of the 17 proteins identified in ESV, 14 proteins (&gt;80%) were venom toxic proteins and most of them were found in higher abundance than in GV. Moreover, two novel proteins (dehydrogenase/reductase SDR family member 11-like and histone H2B.3-like) and three novel phosphorylation sites (icarapin (S43), phospholipase A-2 (T145), and apamin (T23)) were identified.\n\nCONCLUSIONS: Our data demonstrate that venom extracted manually is different from venom extracted using ESV, and these differences may be important in their use as pharmacological agents. ESV may be more efficient than GV as a potential pharmacological source because of its higher venom protein content, production efficiency, and without the need to kill honeybee. The three newly identified phosphorylated venom proteins in ESV may elicit a different immune response through the specific recognition of antigenic determinants. The two novel venom proteins extend our proteome coverage of honeybee venom.", "author" : [ { "dropping-particle" : "", "family" : "Li", "given" : "Rongli", "non-dropping-particle" : "", "parse-names" : false, "suffix" : "" }, { "dropping-particle" : "", "family" : "Zhang", "given" : "Lan", "non-dropping-particle" : "", "parse-names" : false, "suffix" : "" }, { "dropping-particle" : "", "family" : "Fang", "given" : "Yu", "non-dropping-particle" : "", "parse-names" : false, "suffix" : "" }, { "dropping-particle" : "", "family" : "Han", "given" : "Bin", "non-dropping-particle" : "", "parse-names" : false, "suffix" : "" }, { "dropping-particle" : "", "family" : "Lu", "given" : "Xiaoshan", "non-dropping-particle" : "", "parse-names" : false, "suffix" : "" }, { "dropping-particle" : "", "family" : "Zhou", "given" : "Tiane", "non-dropping-particle" : "", "parse-names" : false, "suffix" : "" }, { "dropping-particle" : "", "family" : "Feng", "given" : "Mao", "non-dropping-particle" : "", "parse-names" : false, "suffix" : "" }, { "dropping-particle" : "", "family" : "Li", "given" : "Jianke", "non-dropping-particle" : "", "parse-names" : false, "suffix" : "" } ], "container-title" : "BMC genomics", "id" : "ITEM-1", "issue" : "1", "issued" : { "date-parts" : [ [ "2013", "11", "7" ] ] }, "page" : "766", "publisher" : "BMC Genomics", "title" : "Proteome and phosphoproteome analysis of honeybee (Apis mellifera) venom collected from electrical stimulation and manual extraction of the venom gland.", "type" : "article-journal", "volume" : "14" }, "uris" : [ "http://www.mendeley.com/documents/?uuid=9199d32c-e2f0-419a-9ab6-a1e507c96e74" ] }, { "id" : "ITEM-2",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"ITEM-2",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Li et al., 2013)" }, "properties" : { "noteIndex" : 0 }, "schema" : "https://github.com/citation-style-language/schema/raw/master/csl-citation.json" }</w:instrText>
      </w:r>
      <w:r w:rsidRPr="00375E80">
        <w:fldChar w:fldCharType="separate"/>
      </w:r>
      <w:r w:rsidRPr="00375E80">
        <w:rPr>
          <w:noProof/>
        </w:rPr>
        <w:t>Dineshram et al., 2013; Li et al., 2013)</w:t>
      </w:r>
      <w:r w:rsidRPr="00375E80">
        <w:fldChar w:fldCharType="end"/>
      </w:r>
      <w:r>
        <w:t>.</w:t>
      </w:r>
    </w:p>
    <w:p w14:paraId="3E584B65" w14:textId="77777777" w:rsidR="006315D6" w:rsidRPr="00E20F37" w:rsidRDefault="006315D6" w:rsidP="006315D6">
      <w:pPr>
        <w:spacing w:line="360" w:lineRule="auto"/>
      </w:pPr>
    </w:p>
    <w:p w14:paraId="3C2605BB" w14:textId="6947E7B3" w:rsidR="006315D6" w:rsidRPr="00D03E13" w:rsidRDefault="006315D6" w:rsidP="00D92FB6">
      <w:pPr>
        <w:spacing w:line="360" w:lineRule="auto"/>
        <w:ind w:firstLine="720"/>
      </w:pPr>
      <w:r>
        <w:t xml:space="preserve">This dissertation explores the effects of ocean acidification on the Pacific oyster, </w:t>
      </w:r>
      <w:r>
        <w:rPr>
          <w:i/>
        </w:rPr>
        <w:t>Crassostrea gigas</w:t>
      </w:r>
      <w:r>
        <w:t xml:space="preserve">, at two different life stages.  In the first chapter, larvae are exposed to elevated </w:t>
      </w:r>
      <w:r w:rsidRPr="008F447B">
        <w:rPr>
          <w:i/>
        </w:rPr>
        <w:t>p</w:t>
      </w:r>
      <w:r>
        <w:t>CO</w:t>
      </w:r>
      <w:r w:rsidRPr="008F447B">
        <w:rPr>
          <w:vertAlign w:val="subscript"/>
        </w:rPr>
        <w:t>2</w:t>
      </w:r>
      <w:r>
        <w:t xml:space="preserve"> to assess how ocean acidification affects the earliest stages of development.  Chapter two describes the development of shotgun proteomics tools that can facilitate the study of the mechanisms behind the oyster’s response to ocean acidification and other environmental stressors.  </w:t>
      </w:r>
      <w:proofErr w:type="gramStart"/>
      <w:r>
        <w:t xml:space="preserve">Chapter three details the effects of ocean acidification on the adult oyster proteomic response, fatty acid profiles, shell </w:t>
      </w:r>
      <w:r w:rsidR="00581C49">
        <w:t>microstructural properties</w:t>
      </w:r>
      <w:r>
        <w:t>, and response to another stressor.</w:t>
      </w:r>
      <w:proofErr w:type="gramEnd"/>
      <w:r>
        <w:t xml:space="preserve">  Lastly, Appendix A is an investigation of specific antioxidant response enzymes and their role in the response to elevated </w:t>
      </w:r>
      <w:r w:rsidRPr="008F447B">
        <w:rPr>
          <w:i/>
        </w:rPr>
        <w:t>p</w:t>
      </w:r>
      <w:r>
        <w:t>CO</w:t>
      </w:r>
      <w:r w:rsidRPr="008F447B">
        <w:rPr>
          <w:vertAlign w:val="subscript"/>
        </w:rPr>
        <w:t>2</w:t>
      </w:r>
      <w:r w:rsidR="00B2686F">
        <w:t xml:space="preserve"> and Appendix B includes results from a histological analysis of cuboidal metaplasia in response to ocean acidification and mechanical stress</w:t>
      </w:r>
      <w:r>
        <w:t xml:space="preserve">.  The work as a whole represents novel investigations into the mechanisms behind the invertebrate response to elevated </w:t>
      </w:r>
      <w:r w:rsidRPr="008F447B">
        <w:rPr>
          <w:i/>
        </w:rPr>
        <w:t>p</w:t>
      </w:r>
      <w:r>
        <w:t>CO</w:t>
      </w:r>
      <w:r w:rsidRPr="008F447B">
        <w:rPr>
          <w:vertAlign w:val="subscript"/>
        </w:rPr>
        <w:t>2</w:t>
      </w:r>
      <w:r>
        <w:t xml:space="preserve">.  By combining analyses across different life stages and different scales (i.e. </w:t>
      </w:r>
      <w:r w:rsidR="00581C49">
        <w:t xml:space="preserve">molecular to phenotypic) </w:t>
      </w:r>
      <w:r>
        <w:t>the results illustrate the integrative response of oysters to this environmental stress.</w:t>
      </w:r>
    </w:p>
    <w:p w14:paraId="2713D0CC" w14:textId="0F0D6019" w:rsidR="00C02D9B" w:rsidRDefault="006315D6" w:rsidP="006315D6">
      <w:pPr>
        <w:pStyle w:val="Heading2"/>
      </w:pPr>
      <w:bookmarkStart w:id="12" w:name="_Toc252109977"/>
      <w:r>
        <w:t>Works Cited</w:t>
      </w:r>
      <w:bookmarkEnd w:id="12"/>
    </w:p>
    <w:p w14:paraId="7B925A0F" w14:textId="77777777" w:rsidR="00D92FB6" w:rsidRPr="006124E1" w:rsidRDefault="00D92FB6" w:rsidP="00D92FB6">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Pr>
          <w:rFonts w:ascii="Cambria" w:hAnsi="Cambria"/>
          <w:noProof/>
          <w:sz w:val="24"/>
        </w:rPr>
        <w:t>Babson, A</w:t>
      </w:r>
      <w:r w:rsidRPr="006124E1">
        <w:rPr>
          <w:rFonts w:ascii="Cambria" w:hAnsi="Cambria"/>
          <w:noProof/>
          <w:sz w:val="24"/>
        </w:rPr>
        <w:t xml:space="preserve">. L., Kawase, M., &amp; MacCready, P. (2006). Seasonal and interannual variability in the circulation of Puget Sound, Washington: A box model study. </w:t>
      </w:r>
      <w:r w:rsidRPr="006124E1">
        <w:rPr>
          <w:rFonts w:ascii="Cambria" w:hAnsi="Cambria"/>
          <w:i/>
          <w:iCs/>
          <w:noProof/>
          <w:sz w:val="24"/>
        </w:rPr>
        <w:t>Atmosphere-Ocean</w:t>
      </w:r>
      <w:r w:rsidRPr="006124E1">
        <w:rPr>
          <w:rFonts w:ascii="Cambria" w:hAnsi="Cambria"/>
          <w:noProof/>
          <w:sz w:val="24"/>
        </w:rPr>
        <w:t xml:space="preserve">, </w:t>
      </w:r>
      <w:r w:rsidRPr="006124E1">
        <w:rPr>
          <w:rFonts w:ascii="Cambria" w:hAnsi="Cambria"/>
          <w:i/>
          <w:iCs/>
          <w:noProof/>
          <w:sz w:val="24"/>
        </w:rPr>
        <w:t>44</w:t>
      </w:r>
      <w:r w:rsidRPr="006124E1">
        <w:rPr>
          <w:rFonts w:ascii="Cambria" w:hAnsi="Cambria"/>
          <w:noProof/>
          <w:sz w:val="24"/>
        </w:rPr>
        <w:t>(1), 29–45. doi:10.3137/ao.440103</w:t>
      </w:r>
    </w:p>
    <w:p w14:paraId="3895E4B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Bakun, A., Field, D. B., Redondo-Rodriguez, A., &amp; Weeks, S. J. (2010). Greenhouse gas, upwelling-favorable winds, and the future of coastal ocean upwelling ecosystems.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16</w:t>
      </w:r>
      <w:r w:rsidRPr="006124E1">
        <w:rPr>
          <w:rFonts w:ascii="Cambria" w:hAnsi="Cambria"/>
          <w:noProof/>
          <w:sz w:val="24"/>
        </w:rPr>
        <w:t>(4), 1213–1228. doi:10.1111/j.1365-2486.2009.02094.x</w:t>
      </w:r>
    </w:p>
    <w:p w14:paraId="697332C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Barros, P., Sobral, P., Range, P., Chícharo, L., &amp; Matias, D. (2013). Effects of sea-water acidification on fertilization and larval development of the oyster Crassostrea gigas. </w:t>
      </w:r>
      <w:r w:rsidRPr="006124E1">
        <w:rPr>
          <w:rFonts w:ascii="Cambria" w:hAnsi="Cambria"/>
          <w:i/>
          <w:iCs/>
          <w:noProof/>
          <w:sz w:val="24"/>
        </w:rPr>
        <w:t>Journal of Experimental Marine Biology and Ecology</w:t>
      </w:r>
      <w:r w:rsidRPr="006124E1">
        <w:rPr>
          <w:rFonts w:ascii="Cambria" w:hAnsi="Cambria"/>
          <w:noProof/>
          <w:sz w:val="24"/>
        </w:rPr>
        <w:t xml:space="preserve">, </w:t>
      </w:r>
      <w:r w:rsidRPr="006124E1">
        <w:rPr>
          <w:rFonts w:ascii="Cambria" w:hAnsi="Cambria"/>
          <w:i/>
          <w:iCs/>
          <w:noProof/>
          <w:sz w:val="24"/>
        </w:rPr>
        <w:t>440</w:t>
      </w:r>
      <w:r w:rsidRPr="006124E1">
        <w:rPr>
          <w:rFonts w:ascii="Cambria" w:hAnsi="Cambria"/>
          <w:noProof/>
          <w:sz w:val="24"/>
        </w:rPr>
        <w:t>, 200–206. doi:10.1016/j.jembe.2012.12.014</w:t>
      </w:r>
    </w:p>
    <w:p w14:paraId="03705D1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Barton, A., Hales, B., Waldbusser, G</w:t>
      </w:r>
      <w:r>
        <w:rPr>
          <w:rFonts w:ascii="Cambria" w:hAnsi="Cambria"/>
          <w:noProof/>
          <w:sz w:val="24"/>
        </w:rPr>
        <w:t>. G., Langdon, C., &amp; Feely, R. A</w:t>
      </w:r>
      <w:r w:rsidRPr="006124E1">
        <w:rPr>
          <w:rFonts w:ascii="Cambria" w:hAnsi="Cambria"/>
          <w:noProof/>
          <w:sz w:val="24"/>
        </w:rPr>
        <w:t xml:space="preserve">. (2012). The Pacific oyster, Crassostrea gigas, shows negative correlation to naturally elevated carbon dioxide levels: Implications for near-term ocean acidification effects. </w:t>
      </w:r>
      <w:r w:rsidRPr="006124E1">
        <w:rPr>
          <w:rFonts w:ascii="Cambria" w:hAnsi="Cambria"/>
          <w:i/>
          <w:iCs/>
          <w:noProof/>
          <w:sz w:val="24"/>
        </w:rPr>
        <w:t>Limnology and Oceanography</w:t>
      </w:r>
      <w:r w:rsidRPr="006124E1">
        <w:rPr>
          <w:rFonts w:ascii="Cambria" w:hAnsi="Cambria"/>
          <w:noProof/>
          <w:sz w:val="24"/>
        </w:rPr>
        <w:t xml:space="preserve">, </w:t>
      </w:r>
      <w:r w:rsidRPr="006124E1">
        <w:rPr>
          <w:rFonts w:ascii="Cambria" w:hAnsi="Cambria"/>
          <w:i/>
          <w:iCs/>
          <w:noProof/>
          <w:sz w:val="24"/>
        </w:rPr>
        <w:t>57</w:t>
      </w:r>
      <w:r w:rsidRPr="006124E1">
        <w:rPr>
          <w:rFonts w:ascii="Cambria" w:hAnsi="Cambria"/>
          <w:noProof/>
          <w:sz w:val="24"/>
        </w:rPr>
        <w:t>(3), 698–710. doi:10.4319/lo.2012.57.3.0698</w:t>
      </w:r>
    </w:p>
    <w:p w14:paraId="08AF9F1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Beniash, E., Ivanina, a, Lieb, N., Kurochkin, I., &amp; Sokolova, I. (2010). Elevated level of carbon dioxide affects metabolism and shell formation in oysters Crassostrea virginica (Gmelin). </w:t>
      </w:r>
      <w:r w:rsidRPr="006124E1">
        <w:rPr>
          <w:rFonts w:ascii="Cambria" w:hAnsi="Cambria"/>
          <w:i/>
          <w:iCs/>
          <w:noProof/>
          <w:sz w:val="24"/>
        </w:rPr>
        <w:t>Marine Ecology Progress Series</w:t>
      </w:r>
      <w:r w:rsidRPr="006124E1">
        <w:rPr>
          <w:rFonts w:ascii="Cambria" w:hAnsi="Cambria"/>
          <w:noProof/>
          <w:sz w:val="24"/>
        </w:rPr>
        <w:t xml:space="preserve">, </w:t>
      </w:r>
      <w:r w:rsidRPr="006124E1">
        <w:rPr>
          <w:rFonts w:ascii="Cambria" w:hAnsi="Cambria"/>
          <w:i/>
          <w:iCs/>
          <w:noProof/>
          <w:sz w:val="24"/>
        </w:rPr>
        <w:t>419</w:t>
      </w:r>
      <w:r w:rsidRPr="006124E1">
        <w:rPr>
          <w:rFonts w:ascii="Cambria" w:hAnsi="Cambria"/>
          <w:noProof/>
          <w:sz w:val="24"/>
        </w:rPr>
        <w:t>, 95–108. doi:10.3354/meps08841</w:t>
      </w:r>
    </w:p>
    <w:p w14:paraId="5477BCA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Booth, J. A. T., McPhee-Shaw, E. E., Chua, P., Kingsley, E., Denny, M., Phillips, R., … Gilly, W. F. (2012). Natural intrusions of hypoxic, low pH water into nearshore marine environments on the California coast. </w:t>
      </w:r>
      <w:r w:rsidRPr="006124E1">
        <w:rPr>
          <w:rFonts w:ascii="Cambria" w:hAnsi="Cambria"/>
          <w:i/>
          <w:iCs/>
          <w:noProof/>
          <w:sz w:val="24"/>
        </w:rPr>
        <w:t>Continental Shelf Research</w:t>
      </w:r>
      <w:r w:rsidRPr="006124E1">
        <w:rPr>
          <w:rFonts w:ascii="Cambria" w:hAnsi="Cambria"/>
          <w:noProof/>
          <w:sz w:val="24"/>
        </w:rPr>
        <w:t xml:space="preserve">, </w:t>
      </w:r>
      <w:r w:rsidRPr="006124E1">
        <w:rPr>
          <w:rFonts w:ascii="Cambria" w:hAnsi="Cambria"/>
          <w:i/>
          <w:iCs/>
          <w:noProof/>
          <w:sz w:val="24"/>
        </w:rPr>
        <w:t>45</w:t>
      </w:r>
      <w:r w:rsidRPr="006124E1">
        <w:rPr>
          <w:rFonts w:ascii="Cambria" w:hAnsi="Cambria"/>
          <w:noProof/>
          <w:sz w:val="24"/>
        </w:rPr>
        <w:t>, 108–115. doi:10.1016/j.csr.2012.06.009</w:t>
      </w:r>
    </w:p>
    <w:p w14:paraId="108D377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Caldeira, K., &amp; Wickett, M. E. (2005). Ocean model predictions of chemistry changes from carbon dioxide emissions to the atmosphere and ocean. </w:t>
      </w:r>
      <w:r w:rsidRPr="006124E1">
        <w:rPr>
          <w:rFonts w:ascii="Cambria" w:hAnsi="Cambria"/>
          <w:i/>
          <w:iCs/>
          <w:noProof/>
          <w:sz w:val="24"/>
        </w:rPr>
        <w:t>Journal of Geophysical Research</w:t>
      </w:r>
      <w:r w:rsidRPr="006124E1">
        <w:rPr>
          <w:rFonts w:ascii="Cambria" w:hAnsi="Cambria"/>
          <w:noProof/>
          <w:sz w:val="24"/>
        </w:rPr>
        <w:t xml:space="preserve">, </w:t>
      </w:r>
      <w:r w:rsidRPr="006124E1">
        <w:rPr>
          <w:rFonts w:ascii="Cambria" w:hAnsi="Cambria"/>
          <w:i/>
          <w:iCs/>
          <w:noProof/>
          <w:sz w:val="24"/>
        </w:rPr>
        <w:t>110</w:t>
      </w:r>
      <w:r w:rsidRPr="006124E1">
        <w:rPr>
          <w:rFonts w:ascii="Cambria" w:hAnsi="Cambria"/>
          <w:noProof/>
          <w:sz w:val="24"/>
        </w:rPr>
        <w:t>(C9), C09S04. doi:10.1029/2004JC002671</w:t>
      </w:r>
    </w:p>
    <w:p w14:paraId="1494F60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Clark, M. S., Thorne, M. a S., Amaral, A., Vieira, F., Batista, F. M., Reis, J., &amp; Power, D. M. (2013). Identification of molecular and physiological responses to chronic environmental challenge in an invasive species: the Pacific oyster, Crassostrea gigas. </w:t>
      </w:r>
      <w:r w:rsidRPr="006124E1">
        <w:rPr>
          <w:rFonts w:ascii="Cambria" w:hAnsi="Cambria"/>
          <w:i/>
          <w:iCs/>
          <w:noProof/>
          <w:sz w:val="24"/>
        </w:rPr>
        <w:t>Ecology and evolution</w:t>
      </w:r>
      <w:r w:rsidRPr="006124E1">
        <w:rPr>
          <w:rFonts w:ascii="Cambria" w:hAnsi="Cambria"/>
          <w:noProof/>
          <w:sz w:val="24"/>
        </w:rPr>
        <w:t xml:space="preserve">, </w:t>
      </w:r>
      <w:r w:rsidRPr="006124E1">
        <w:rPr>
          <w:rFonts w:ascii="Cambria" w:hAnsi="Cambria"/>
          <w:i/>
          <w:iCs/>
          <w:noProof/>
          <w:sz w:val="24"/>
        </w:rPr>
        <w:t>3</w:t>
      </w:r>
      <w:r w:rsidRPr="006124E1">
        <w:rPr>
          <w:rFonts w:ascii="Cambria" w:hAnsi="Cambria"/>
          <w:noProof/>
          <w:sz w:val="24"/>
        </w:rPr>
        <w:t>(10), 3283–97. doi:10.1002/ece3.719</w:t>
      </w:r>
    </w:p>
    <w:p w14:paraId="31AEDCF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Colbourne, J. K., Pfrender, M. E., Gilbert, D., Thomas, W. K., Tucker, A., Oakley, T. H., … Basu, M. K. (2011). The ecoresponsive genome of Daphnia pulex.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331</w:t>
      </w:r>
      <w:r w:rsidRPr="006124E1">
        <w:rPr>
          <w:rFonts w:ascii="Cambria" w:hAnsi="Cambria"/>
          <w:noProof/>
          <w:sz w:val="24"/>
        </w:rPr>
        <w:t>(6017), 555–61. doi:10.1126/science.1197761</w:t>
      </w:r>
    </w:p>
    <w:p w14:paraId="1C6067BF"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Dickinson, G. H., Ivanina, A. V, Matoo, O. B., Pörtner, H. O., Lannig, G., Bock, C., … Sokolova, I. M. (2012). Interactive effects of salinity and elevated CO</w:t>
      </w:r>
      <w:r w:rsidRPr="000A4A89">
        <w:rPr>
          <w:rFonts w:ascii="Cambria" w:hAnsi="Cambria"/>
          <w:noProof/>
          <w:sz w:val="24"/>
          <w:vertAlign w:val="subscript"/>
        </w:rPr>
        <w:t>2</w:t>
      </w:r>
      <w:r w:rsidRPr="006124E1">
        <w:rPr>
          <w:rFonts w:ascii="Cambria" w:hAnsi="Cambria"/>
          <w:noProof/>
          <w:sz w:val="24"/>
        </w:rPr>
        <w:t xml:space="preserve"> levels on juvenile eastern oysters, Crassostrea virginica.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215</w:t>
      </w:r>
      <w:r w:rsidRPr="006124E1">
        <w:rPr>
          <w:rFonts w:ascii="Cambria" w:hAnsi="Cambria"/>
          <w:noProof/>
          <w:sz w:val="24"/>
        </w:rPr>
        <w:t>(Pt 1), 29–43. doi:10.1242/jeb.061481</w:t>
      </w:r>
    </w:p>
    <w:p w14:paraId="3978C6B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Dickinson, G. H., Matoo, O. B., Tourek, R. T., Sokolova, I. M., &amp; Beniash, E. (2013). Environmental salinity modulates the effects of elevated CO</w:t>
      </w:r>
      <w:r w:rsidRPr="000A4A89">
        <w:rPr>
          <w:rFonts w:ascii="Cambria" w:hAnsi="Cambria"/>
          <w:noProof/>
          <w:sz w:val="24"/>
          <w:vertAlign w:val="subscript"/>
        </w:rPr>
        <w:t>2</w:t>
      </w:r>
      <w:r w:rsidRPr="006124E1">
        <w:rPr>
          <w:rFonts w:ascii="Cambria" w:hAnsi="Cambria"/>
          <w:noProof/>
          <w:sz w:val="24"/>
        </w:rPr>
        <w:t xml:space="preserve"> levels on juvenile hard-shell clams, Mercenaria mercenaria.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216</w:t>
      </w:r>
      <w:r w:rsidRPr="006124E1">
        <w:rPr>
          <w:rFonts w:ascii="Cambria" w:hAnsi="Cambria"/>
          <w:noProof/>
          <w:sz w:val="24"/>
        </w:rPr>
        <w:t>(Pt 14), 2607–18. doi:10.1242/jeb.082909</w:t>
      </w:r>
    </w:p>
    <w:p w14:paraId="696BC9B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Dineshram, R., Thiyagarajan, V., Lane, A., Ziniu, Y., Xiao, S., &amp; Leung, P. T. Y. (2013). Elevated CO</w:t>
      </w:r>
      <w:r w:rsidRPr="000A4A89">
        <w:rPr>
          <w:rFonts w:ascii="Cambria" w:hAnsi="Cambria"/>
          <w:noProof/>
          <w:sz w:val="24"/>
          <w:vertAlign w:val="subscript"/>
        </w:rPr>
        <w:t>2</w:t>
      </w:r>
      <w:r w:rsidRPr="006124E1">
        <w:rPr>
          <w:rFonts w:ascii="Cambria" w:hAnsi="Cambria"/>
          <w:noProof/>
          <w:sz w:val="24"/>
        </w:rPr>
        <w:t xml:space="preserve"> alters larval proteome and its phosphorylation status in the commercial oyster, Crassostrea hongkongensis.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160</w:t>
      </w:r>
      <w:r w:rsidRPr="006124E1">
        <w:rPr>
          <w:rFonts w:ascii="Cambria" w:hAnsi="Cambria"/>
          <w:noProof/>
          <w:sz w:val="24"/>
        </w:rPr>
        <w:t>(8), 2189–2205. doi:10.1007/s00227-013-2176-x</w:t>
      </w:r>
    </w:p>
    <w:p w14:paraId="6725977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Fassbender, A. J., Sabine, C. L., Feely, R. a., Langdon, C., &amp; Mordy, C. W. (2011). Inorganic carbon dynamics during northern California coastal upwelling. </w:t>
      </w:r>
      <w:r w:rsidRPr="006124E1">
        <w:rPr>
          <w:rFonts w:ascii="Cambria" w:hAnsi="Cambria"/>
          <w:i/>
          <w:iCs/>
          <w:noProof/>
          <w:sz w:val="24"/>
        </w:rPr>
        <w:t>Continental Shelf Research</w:t>
      </w:r>
      <w:r w:rsidRPr="006124E1">
        <w:rPr>
          <w:rFonts w:ascii="Cambria" w:hAnsi="Cambria"/>
          <w:noProof/>
          <w:sz w:val="24"/>
        </w:rPr>
        <w:t xml:space="preserve">, </w:t>
      </w:r>
      <w:r w:rsidRPr="006124E1">
        <w:rPr>
          <w:rFonts w:ascii="Cambria" w:hAnsi="Cambria"/>
          <w:i/>
          <w:iCs/>
          <w:noProof/>
          <w:sz w:val="24"/>
        </w:rPr>
        <w:t>31</w:t>
      </w:r>
      <w:r w:rsidRPr="006124E1">
        <w:rPr>
          <w:rFonts w:ascii="Cambria" w:hAnsi="Cambria"/>
          <w:noProof/>
          <w:sz w:val="24"/>
        </w:rPr>
        <w:t>(11), 1180–1192. doi:10.1016/j.csr.2011.04.006</w:t>
      </w:r>
    </w:p>
    <w:p w14:paraId="283190D8"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Sabine, C. L., Lee, K., Berelson, W., Kleypas, J., Fabry, V. J., &amp; Millero, F. J. (2004). Impact of anthropogenic CO</w:t>
      </w:r>
      <w:r w:rsidRPr="00150BAA">
        <w:rPr>
          <w:rFonts w:ascii="Cambria" w:hAnsi="Cambria"/>
          <w:noProof/>
          <w:sz w:val="24"/>
          <w:vertAlign w:val="subscript"/>
        </w:rPr>
        <w:t>2</w:t>
      </w:r>
      <w:r w:rsidRPr="006124E1">
        <w:rPr>
          <w:rFonts w:ascii="Cambria" w:hAnsi="Cambria"/>
          <w:noProof/>
          <w:sz w:val="24"/>
        </w:rPr>
        <w:t xml:space="preserve"> on the CaCO</w:t>
      </w:r>
      <w:r w:rsidRPr="00150BAA">
        <w:rPr>
          <w:rFonts w:ascii="Cambria" w:hAnsi="Cambria"/>
          <w:noProof/>
          <w:sz w:val="24"/>
          <w:vertAlign w:val="subscript"/>
        </w:rPr>
        <w:t>3</w:t>
      </w:r>
      <w:r w:rsidRPr="006124E1">
        <w:rPr>
          <w:rFonts w:ascii="Cambria" w:hAnsi="Cambria"/>
          <w:noProof/>
          <w:sz w:val="24"/>
        </w:rPr>
        <w:t xml:space="preserve"> system in the oceans.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305</w:t>
      </w:r>
      <w:r w:rsidRPr="006124E1">
        <w:rPr>
          <w:rFonts w:ascii="Cambria" w:hAnsi="Cambria"/>
          <w:noProof/>
          <w:sz w:val="24"/>
        </w:rPr>
        <w:t>(5682), 362–6. doi:10.1126/science.1097329</w:t>
      </w:r>
    </w:p>
    <w:p w14:paraId="108E80AB"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xml:space="preserve">., Alin, S. R., Newton, J., Sabine, C. L., Warner, M., Devol, A., … Maloy, C. (2010). The combined effects of ocean acidification, mixing, and respiration on pH and carbonate saturation in an urbanized estuary. </w:t>
      </w:r>
      <w:r w:rsidRPr="006124E1">
        <w:rPr>
          <w:rFonts w:ascii="Cambria" w:hAnsi="Cambria"/>
          <w:i/>
          <w:iCs/>
          <w:noProof/>
          <w:sz w:val="24"/>
        </w:rPr>
        <w:t>Estuarine, Coastal and Shelf Science</w:t>
      </w:r>
      <w:r w:rsidRPr="006124E1">
        <w:rPr>
          <w:rFonts w:ascii="Cambria" w:hAnsi="Cambria"/>
          <w:noProof/>
          <w:sz w:val="24"/>
        </w:rPr>
        <w:t xml:space="preserve">, </w:t>
      </w:r>
      <w:r w:rsidRPr="006124E1">
        <w:rPr>
          <w:rFonts w:ascii="Cambria" w:hAnsi="Cambria"/>
          <w:i/>
          <w:iCs/>
          <w:noProof/>
          <w:sz w:val="24"/>
        </w:rPr>
        <w:t>88</w:t>
      </w:r>
      <w:r w:rsidRPr="006124E1">
        <w:rPr>
          <w:rFonts w:ascii="Cambria" w:hAnsi="Cambria"/>
          <w:noProof/>
          <w:sz w:val="24"/>
        </w:rPr>
        <w:t>(4), 442–449. doi:10.1016/j.ecss.2010.05.004</w:t>
      </w:r>
    </w:p>
    <w:p w14:paraId="45EADD90"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xml:space="preserve">., Sabine, C. L., Byrne, R. H., Millero, F. J., Dickson, A. G., Wanninkhof, R., … Greeley, D. (2012). Decadal changes in the aragonite and calcite saturation state of the Pacific Ocean. </w:t>
      </w:r>
      <w:r w:rsidRPr="006124E1">
        <w:rPr>
          <w:rFonts w:ascii="Cambria" w:hAnsi="Cambria"/>
          <w:i/>
          <w:iCs/>
          <w:noProof/>
          <w:sz w:val="24"/>
        </w:rPr>
        <w:t>Global Biogeochemical Cycles</w:t>
      </w:r>
      <w:r w:rsidRPr="006124E1">
        <w:rPr>
          <w:rFonts w:ascii="Cambria" w:hAnsi="Cambria"/>
          <w:noProof/>
          <w:sz w:val="24"/>
        </w:rPr>
        <w:t xml:space="preserve">, </w:t>
      </w:r>
      <w:r w:rsidRPr="006124E1">
        <w:rPr>
          <w:rFonts w:ascii="Cambria" w:hAnsi="Cambria"/>
          <w:i/>
          <w:iCs/>
          <w:noProof/>
          <w:sz w:val="24"/>
        </w:rPr>
        <w:t>26</w:t>
      </w:r>
      <w:r w:rsidRPr="006124E1">
        <w:rPr>
          <w:rFonts w:ascii="Cambria" w:hAnsi="Cambria"/>
          <w:noProof/>
          <w:sz w:val="24"/>
        </w:rPr>
        <w:t xml:space="preserve">(3), </w:t>
      </w:r>
      <w:r>
        <w:rPr>
          <w:rFonts w:ascii="Cambria" w:hAnsi="Cambria"/>
          <w:noProof/>
          <w:sz w:val="24"/>
        </w:rPr>
        <w:t>GB3001</w:t>
      </w:r>
      <w:r w:rsidRPr="006124E1">
        <w:rPr>
          <w:rFonts w:ascii="Cambria" w:hAnsi="Cambria"/>
          <w:noProof/>
          <w:sz w:val="24"/>
        </w:rPr>
        <w:t>. doi:10.1029/2011GB004157</w:t>
      </w:r>
    </w:p>
    <w:p w14:paraId="5E42B50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Gaylord, B., Hill, T. M., Sanford, E., Lenz, E. a, Jacobs, L. a, Sato, K. N., … Hettinger, A. (2011). Functional impacts of ocean acidification in an ecologically critical foundation species.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214</w:t>
      </w:r>
      <w:r w:rsidRPr="006124E1">
        <w:rPr>
          <w:rFonts w:ascii="Cambria" w:hAnsi="Cambria"/>
          <w:noProof/>
          <w:sz w:val="24"/>
        </w:rPr>
        <w:t>(Pt 15), 2586–94. doi:10.1242/jeb.055939</w:t>
      </w:r>
    </w:p>
    <w:p w14:paraId="4028A876"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Gazeau, F., Quiblier, C., Jansen, J. M., Gattuso, J.-P., Middelburg, J. J., &amp; Heip, C. H. R. (2007). Impact of elevated CO 2 on shellfish calcification.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34</w:t>
      </w:r>
      <w:r w:rsidRPr="006124E1">
        <w:rPr>
          <w:rFonts w:ascii="Cambria" w:hAnsi="Cambria"/>
          <w:noProof/>
          <w:sz w:val="24"/>
        </w:rPr>
        <w:t>(7), L07603. doi:10.1029/2006GL028554</w:t>
      </w:r>
    </w:p>
    <w:p w14:paraId="72D3908E" w14:textId="77777777" w:rsidR="00D92FB6" w:rsidRDefault="00D92FB6" w:rsidP="00D92FB6">
      <w:pPr>
        <w:pStyle w:val="NormalWeb"/>
        <w:ind w:left="480" w:hanging="480"/>
        <w:rPr>
          <w:rFonts w:ascii="Cambria" w:hAnsi="Cambria"/>
          <w:noProof/>
          <w:sz w:val="24"/>
        </w:rPr>
      </w:pPr>
      <w:r w:rsidRPr="006124E1">
        <w:rPr>
          <w:rFonts w:ascii="Cambria" w:hAnsi="Cambria"/>
          <w:noProof/>
          <w:sz w:val="24"/>
        </w:rPr>
        <w:t xml:space="preserve">Gruber, N., Hauri, C., Lachkar, Z., Loher, D., Frölicher, T. L., &amp; Plattner, G.-K. (2012). Rapid progression of ocean acidification in the California Current System.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337</w:t>
      </w:r>
      <w:r w:rsidRPr="006124E1">
        <w:rPr>
          <w:rFonts w:ascii="Cambria" w:hAnsi="Cambria"/>
          <w:noProof/>
          <w:sz w:val="24"/>
        </w:rPr>
        <w:t>(6091), 220–3. doi:10.1126/science.1216773</w:t>
      </w:r>
    </w:p>
    <w:p w14:paraId="030CE9EA" w14:textId="5418E9FB" w:rsidR="005643FD" w:rsidRPr="005643FD" w:rsidRDefault="005643FD" w:rsidP="005643FD">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395D81AF"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Hettinger, A., Sanford, E., Hill, T. M., Russell, A. D., Sato, K. N. S., Hoey, J., … Gaylord, B. (2012). Persistent carry-over effects of planktonic exposure to ocean acidification in the Olympia oyster. </w:t>
      </w:r>
      <w:r w:rsidRPr="006124E1">
        <w:rPr>
          <w:rFonts w:ascii="Cambria" w:hAnsi="Cambria"/>
          <w:i/>
          <w:iCs/>
          <w:noProof/>
          <w:sz w:val="24"/>
        </w:rPr>
        <w:t>Ecology</w:t>
      </w:r>
      <w:r w:rsidRPr="006124E1">
        <w:rPr>
          <w:rFonts w:ascii="Cambria" w:hAnsi="Cambria"/>
          <w:noProof/>
          <w:sz w:val="24"/>
        </w:rPr>
        <w:t xml:space="preserve">, </w:t>
      </w:r>
      <w:r w:rsidRPr="006124E1">
        <w:rPr>
          <w:rFonts w:ascii="Cambria" w:hAnsi="Cambria"/>
          <w:i/>
          <w:iCs/>
          <w:noProof/>
          <w:sz w:val="24"/>
        </w:rPr>
        <w:t>93</w:t>
      </w:r>
      <w:r w:rsidRPr="006124E1">
        <w:rPr>
          <w:rFonts w:ascii="Cambria" w:hAnsi="Cambria"/>
          <w:noProof/>
          <w:sz w:val="24"/>
        </w:rPr>
        <w:t>(12), 2758–68. Retrieved from http://www.ncbi.nlm.nih.gov/pubmed/23431605</w:t>
      </w:r>
    </w:p>
    <w:p w14:paraId="5344F83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Hönisch, B., Hemming, N. G., Archer, D., Siddall, M., &amp; McManus, J. F. (2009). Atmospheric carbon dioxide concentration across the mid-Pleistocene transition.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324</w:t>
      </w:r>
      <w:r w:rsidRPr="006124E1">
        <w:rPr>
          <w:rFonts w:ascii="Cambria" w:hAnsi="Cambria"/>
          <w:noProof/>
          <w:sz w:val="24"/>
        </w:rPr>
        <w:t>(5934), 1551–4. doi:10.1126/science.1171477</w:t>
      </w:r>
    </w:p>
    <w:p w14:paraId="17F2D6B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Hu, X., &amp; Cai, W.-J. (2013). Estuarine acidification and minimum buffer zone-A conceptual study.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(19), 5176–5181. doi:10.1002/grl.51000</w:t>
      </w:r>
    </w:p>
    <w:p w14:paraId="5A2496B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Jones, B. M., Iglesias-Rodriguez, M. D., Skipp, P. J., Edwards, R. J., Greaves, M. J., Young, J. R., … O’Connor, C. D. (2013). Responses of the Emiliania huxleyi proteome to ocean acidification.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8</w:t>
      </w:r>
      <w:r w:rsidRPr="006124E1">
        <w:rPr>
          <w:rFonts w:ascii="Cambria" w:hAnsi="Cambria"/>
          <w:noProof/>
          <w:sz w:val="24"/>
        </w:rPr>
        <w:t>(4), e61868. doi:10.1371/journal.pone.0061868</w:t>
      </w:r>
    </w:p>
    <w:p w14:paraId="48B752C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Kelly, M. W., Padilla-Gamiño, J. L., &amp; Hofmann, G. E. (2013). Natural variation and the capacity to adapt to ocean acidification in the keystone sea urchin Strongylocentrotus purpuratus.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19</w:t>
      </w:r>
      <w:r w:rsidRPr="006124E1">
        <w:rPr>
          <w:rFonts w:ascii="Cambria" w:hAnsi="Cambria"/>
          <w:noProof/>
          <w:sz w:val="24"/>
        </w:rPr>
        <w:t>(8), 2536–46. doi:10.1111/gcb.12251</w:t>
      </w:r>
    </w:p>
    <w:p w14:paraId="3BEEB99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Kurihara, H., Kato, S., &amp; Ishimatsu, a. (2007). Effects of increased seawater pCO</w:t>
      </w:r>
      <w:r w:rsidRPr="006124E1">
        <w:rPr>
          <w:rFonts w:ascii="Cambria" w:hAnsi="Cambria"/>
          <w:noProof/>
          <w:sz w:val="24"/>
          <w:vertAlign w:val="subscript"/>
        </w:rPr>
        <w:t>2</w:t>
      </w:r>
      <w:r w:rsidRPr="006124E1">
        <w:rPr>
          <w:rFonts w:ascii="Cambria" w:hAnsi="Cambria"/>
          <w:noProof/>
          <w:sz w:val="24"/>
        </w:rPr>
        <w:t xml:space="preserve"> on early development of the oyster Crassostrea gigas. </w:t>
      </w:r>
      <w:r w:rsidRPr="006124E1">
        <w:rPr>
          <w:rFonts w:ascii="Cambria" w:hAnsi="Cambria"/>
          <w:i/>
          <w:iCs/>
          <w:noProof/>
          <w:sz w:val="24"/>
        </w:rPr>
        <w:t>Aquatic Biology</w:t>
      </w:r>
      <w:r w:rsidRPr="006124E1">
        <w:rPr>
          <w:rFonts w:ascii="Cambria" w:hAnsi="Cambria"/>
          <w:noProof/>
          <w:sz w:val="24"/>
        </w:rPr>
        <w:t xml:space="preserve">, </w:t>
      </w:r>
      <w:r w:rsidRPr="006124E1">
        <w:rPr>
          <w:rFonts w:ascii="Cambria" w:hAnsi="Cambria"/>
          <w:i/>
          <w:iCs/>
          <w:noProof/>
          <w:sz w:val="24"/>
        </w:rPr>
        <w:t>1</w:t>
      </w:r>
      <w:r w:rsidRPr="006124E1">
        <w:rPr>
          <w:rFonts w:ascii="Cambria" w:hAnsi="Cambria"/>
          <w:noProof/>
          <w:sz w:val="24"/>
        </w:rPr>
        <w:t>(1), 91–98. doi:10.3354/ab00009</w:t>
      </w:r>
    </w:p>
    <w:p w14:paraId="50538D6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Lannig, G., Eilers, S., Pörtner, H. O., Sokolova, I. M., &amp; Bock, C. (2010). Impact of ocean acidification on energy metabolism of oyster, Crassostrea gigas--changes in metabolic pathways and thermal response. </w:t>
      </w:r>
      <w:r w:rsidRPr="006124E1">
        <w:rPr>
          <w:rFonts w:ascii="Cambria" w:hAnsi="Cambria"/>
          <w:i/>
          <w:iCs/>
          <w:noProof/>
          <w:sz w:val="24"/>
        </w:rPr>
        <w:t>Marine drugs</w:t>
      </w:r>
      <w:r w:rsidRPr="006124E1">
        <w:rPr>
          <w:rFonts w:ascii="Cambria" w:hAnsi="Cambria"/>
          <w:noProof/>
          <w:sz w:val="24"/>
        </w:rPr>
        <w:t xml:space="preserve">, </w:t>
      </w:r>
      <w:r w:rsidRPr="006124E1">
        <w:rPr>
          <w:rFonts w:ascii="Cambria" w:hAnsi="Cambria"/>
          <w:i/>
          <w:iCs/>
          <w:noProof/>
          <w:sz w:val="24"/>
        </w:rPr>
        <w:t>8</w:t>
      </w:r>
      <w:r w:rsidRPr="006124E1">
        <w:rPr>
          <w:rFonts w:ascii="Cambria" w:hAnsi="Cambria"/>
          <w:noProof/>
          <w:sz w:val="24"/>
        </w:rPr>
        <w:t>(8), 2318–39. doi:10.3390/md8082318</w:t>
      </w:r>
    </w:p>
    <w:p w14:paraId="3064B2A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Letendre, J., Dupont-Rouzeyrol, M., Hanquet, A.-C., Durand, F., Budzinski, H., Chan, P., … Rocher, B. (2011). Impact of toxicant exposure on the proteomic response to intertidal condition in Mytilus edulis. </w:t>
      </w:r>
      <w:r w:rsidRPr="006124E1">
        <w:rPr>
          <w:rFonts w:ascii="Cambria" w:hAnsi="Cambria"/>
          <w:i/>
          <w:iCs/>
          <w:noProof/>
          <w:sz w:val="24"/>
        </w:rPr>
        <w:t>Comparative biochemistry and physiology. Part D, Genomics &amp; proteomics</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(4), 357–69. doi:10.1016/j.cbd.2011.08.002</w:t>
      </w:r>
    </w:p>
    <w:p w14:paraId="2226DC1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Li, R., Zhang, L., Fang, Y., Han, B., Lu, X., Zhou, T., … Li, J. (2013). Proteome and phosphoproteome analysis of honeybee (Apis mellifera) venom collected from electrical stimulation and manual extraction of the venom gland. </w:t>
      </w:r>
      <w:r w:rsidRPr="006124E1">
        <w:rPr>
          <w:rFonts w:ascii="Cambria" w:hAnsi="Cambria"/>
          <w:i/>
          <w:iCs/>
          <w:noProof/>
          <w:sz w:val="24"/>
        </w:rPr>
        <w:t>BMC genomics</w:t>
      </w:r>
      <w:r w:rsidRPr="006124E1">
        <w:rPr>
          <w:rFonts w:ascii="Cambria" w:hAnsi="Cambria"/>
          <w:noProof/>
          <w:sz w:val="24"/>
        </w:rPr>
        <w:t xml:space="preserve">, </w:t>
      </w:r>
      <w:r w:rsidRPr="006124E1">
        <w:rPr>
          <w:rFonts w:ascii="Cambria" w:hAnsi="Cambria"/>
          <w:i/>
          <w:iCs/>
          <w:noProof/>
          <w:sz w:val="24"/>
        </w:rPr>
        <w:t>14</w:t>
      </w:r>
      <w:r w:rsidRPr="006124E1">
        <w:rPr>
          <w:rFonts w:ascii="Cambria" w:hAnsi="Cambria"/>
          <w:noProof/>
          <w:sz w:val="24"/>
        </w:rPr>
        <w:t>(1), 766. doi:10.1186/1471-2164-14-766</w:t>
      </w:r>
    </w:p>
    <w:p w14:paraId="47D6C21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Lüchmann, K. H., Mattos, J. J., Siebert, M. N., Granucci, N., Dorrington, T. S., Bícego, M. C., … Bainy, A. C. D. (2011). Biochemical biomarkers and hydrocarbons concentrations in the mangrove oyster Crassostrea brasiliana following exposure to diesel fuel water-accommodated fraction. </w:t>
      </w:r>
      <w:r w:rsidRPr="006124E1">
        <w:rPr>
          <w:rFonts w:ascii="Cambria" w:hAnsi="Cambria"/>
          <w:i/>
          <w:iCs/>
          <w:noProof/>
          <w:sz w:val="24"/>
        </w:rPr>
        <w:t>Aquatic tox</w:t>
      </w:r>
      <w:r>
        <w:rPr>
          <w:rFonts w:ascii="Cambria" w:hAnsi="Cambria"/>
          <w:i/>
          <w:iCs/>
          <w:noProof/>
          <w:sz w:val="24"/>
        </w:rPr>
        <w:t>icology</w:t>
      </w:r>
      <w:r w:rsidRPr="006124E1">
        <w:rPr>
          <w:rFonts w:ascii="Cambria" w:hAnsi="Cambria"/>
          <w:noProof/>
          <w:sz w:val="24"/>
        </w:rPr>
        <w:t xml:space="preserve">, </w:t>
      </w:r>
      <w:r w:rsidRPr="006124E1">
        <w:rPr>
          <w:rFonts w:ascii="Cambria" w:hAnsi="Cambria"/>
          <w:i/>
          <w:iCs/>
          <w:noProof/>
          <w:sz w:val="24"/>
        </w:rPr>
        <w:t>105</w:t>
      </w:r>
      <w:r w:rsidRPr="006124E1">
        <w:rPr>
          <w:rFonts w:ascii="Cambria" w:hAnsi="Cambria"/>
          <w:noProof/>
          <w:sz w:val="24"/>
        </w:rPr>
        <w:t>(3-4), 652–60. doi:10.1016/j.aquatox.2011.09.003</w:t>
      </w:r>
    </w:p>
    <w:p w14:paraId="14DFB9E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Malécot, M., Guével, B., Pineau, C., Holbech, B. F., Bormans, M., &amp; Wiegand, C. (2013). Specific proteomic response of Unio pictorum mussel to a mixture of glyphosate and microcystin-LR. </w:t>
      </w:r>
      <w:r w:rsidRPr="006124E1">
        <w:rPr>
          <w:rFonts w:ascii="Cambria" w:hAnsi="Cambria"/>
          <w:i/>
          <w:iCs/>
          <w:noProof/>
          <w:sz w:val="24"/>
        </w:rPr>
        <w:t>Journal of proteome research</w:t>
      </w:r>
      <w:r w:rsidRPr="006124E1">
        <w:rPr>
          <w:rFonts w:ascii="Cambria" w:hAnsi="Cambria"/>
          <w:noProof/>
          <w:sz w:val="24"/>
        </w:rPr>
        <w:t xml:space="preserve">, </w:t>
      </w:r>
      <w:r w:rsidRPr="006124E1">
        <w:rPr>
          <w:rFonts w:ascii="Cambria" w:hAnsi="Cambria"/>
          <w:i/>
          <w:iCs/>
          <w:noProof/>
          <w:sz w:val="24"/>
        </w:rPr>
        <w:t>12</w:t>
      </w:r>
      <w:r w:rsidRPr="006124E1">
        <w:rPr>
          <w:rFonts w:ascii="Cambria" w:hAnsi="Cambria"/>
          <w:noProof/>
          <w:sz w:val="24"/>
        </w:rPr>
        <w:t>(11), 5281–92. doi:10.1021/pr4006316</w:t>
      </w:r>
    </w:p>
    <w:p w14:paraId="65EAACF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Matoo, O. B., Ivanina, A. V, Ullstad, C., Beniash, E., &amp; Sokolova, I. M. (2013). Interactive effects of elevated temperature and </w:t>
      </w:r>
      <w:r>
        <w:rPr>
          <w:rFonts w:ascii="Cambria" w:hAnsi="Cambria"/>
          <w:noProof/>
          <w:sz w:val="24"/>
        </w:rPr>
        <w:t>CO</w:t>
      </w:r>
      <w:r w:rsidRPr="006124E1">
        <w:rPr>
          <w:rFonts w:ascii="Cambria" w:hAnsi="Cambria"/>
          <w:noProof/>
          <w:sz w:val="24"/>
          <w:vertAlign w:val="subscript"/>
        </w:rPr>
        <w:t>2</w:t>
      </w:r>
      <w:r w:rsidRPr="006124E1">
        <w:rPr>
          <w:rFonts w:ascii="Cambria" w:hAnsi="Cambria"/>
          <w:noProof/>
          <w:sz w:val="24"/>
        </w:rPr>
        <w:t xml:space="preserve"> levels on metabolism and oxidative stress in two common marine bivalves (Crassostrea virginica and Mercenaria mercenaria). </w:t>
      </w:r>
      <w:r w:rsidRPr="006124E1">
        <w:rPr>
          <w:rFonts w:ascii="Cambria" w:hAnsi="Cambria"/>
          <w:i/>
          <w:iCs/>
          <w:noProof/>
          <w:sz w:val="24"/>
        </w:rPr>
        <w:t>Comparative biochemistry and physiology. Part A, Molecular &amp; integrative physiology</w:t>
      </w:r>
      <w:r w:rsidRPr="006124E1">
        <w:rPr>
          <w:rFonts w:ascii="Cambria" w:hAnsi="Cambria"/>
          <w:noProof/>
          <w:sz w:val="24"/>
        </w:rPr>
        <w:t xml:space="preserve">, </w:t>
      </w:r>
      <w:r w:rsidRPr="006124E1">
        <w:rPr>
          <w:rFonts w:ascii="Cambria" w:hAnsi="Cambria"/>
          <w:i/>
          <w:iCs/>
          <w:noProof/>
          <w:sz w:val="24"/>
        </w:rPr>
        <w:t>164</w:t>
      </w:r>
      <w:r w:rsidRPr="006124E1">
        <w:rPr>
          <w:rFonts w:ascii="Cambria" w:hAnsi="Cambria"/>
          <w:noProof/>
          <w:sz w:val="24"/>
        </w:rPr>
        <w:t>(4), 545–53. doi:10.1016/j.cbpa.2012.12.025</w:t>
      </w:r>
    </w:p>
    <w:p w14:paraId="76F9D9A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Matozzo, V., Chinellato, A., Munari, M., Finos, L., Bressan, M., &amp; Marin, M. G. (2012). First evidence of immunomodulation in bivalves under seawater acidification and increased temperature.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7</w:t>
      </w:r>
      <w:r w:rsidRPr="006124E1">
        <w:rPr>
          <w:rFonts w:ascii="Cambria" w:hAnsi="Cambria"/>
          <w:noProof/>
          <w:sz w:val="24"/>
        </w:rPr>
        <w:t>(3), e33820. doi:10.1371/journal.pone.0033820</w:t>
      </w:r>
    </w:p>
    <w:p w14:paraId="6A20447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Melzner, F., Stange, P., Trübenbach, K., Thomsen, J., Casties, I</w:t>
      </w:r>
      <w:r>
        <w:rPr>
          <w:rFonts w:ascii="Cambria" w:hAnsi="Cambria"/>
          <w:noProof/>
          <w:sz w:val="24"/>
        </w:rPr>
        <w:t>., Panknin, U., … Gutowska, M. A</w:t>
      </w:r>
      <w:r w:rsidRPr="006124E1">
        <w:rPr>
          <w:rFonts w:ascii="Cambria" w:hAnsi="Cambria"/>
          <w:noProof/>
          <w:sz w:val="24"/>
        </w:rPr>
        <w:t xml:space="preserve">. (2011). Food supply and seawater pCO2 impact calcification and internal shell dissolution in the blue mussel Mytilus edulis.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(9), e24223. doi:10.1371/journal.pone.0024223</w:t>
      </w:r>
    </w:p>
    <w:p w14:paraId="72EF973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Michaelidis, B., Ouzounis, C., Paleras, A., &amp; Pörtner, H. O. (2005). Effects of long-term moderate hypercapnia on acid – base balance and growth rate in marine mu</w:t>
      </w:r>
      <w:r>
        <w:rPr>
          <w:rFonts w:ascii="Cambria" w:hAnsi="Cambria"/>
          <w:noProof/>
          <w:sz w:val="24"/>
        </w:rPr>
        <w:t xml:space="preserve">ssels Mytilus galloprovincialis. </w:t>
      </w:r>
      <w:r>
        <w:rPr>
          <w:rFonts w:ascii="Cambria" w:hAnsi="Cambria"/>
          <w:i/>
          <w:noProof/>
          <w:sz w:val="24"/>
        </w:rPr>
        <w:t>Marine Ecology Progress Series,</w:t>
      </w:r>
      <w:r w:rsidRPr="006124E1">
        <w:rPr>
          <w:rFonts w:ascii="Cambria" w:hAnsi="Cambria"/>
          <w:noProof/>
          <w:sz w:val="24"/>
        </w:rPr>
        <w:t xml:space="preserve"> </w:t>
      </w:r>
      <w:r w:rsidRPr="006124E1">
        <w:rPr>
          <w:rFonts w:ascii="Cambria" w:hAnsi="Cambria"/>
          <w:i/>
          <w:iCs/>
          <w:noProof/>
          <w:sz w:val="24"/>
        </w:rPr>
        <w:t>293</w:t>
      </w:r>
      <w:r w:rsidRPr="006124E1">
        <w:rPr>
          <w:rFonts w:ascii="Cambria" w:hAnsi="Cambria"/>
          <w:noProof/>
          <w:sz w:val="24"/>
        </w:rPr>
        <w:t>, 109–118.</w:t>
      </w:r>
    </w:p>
    <w:p w14:paraId="6C892133"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Miller, A.</w:t>
      </w:r>
      <w:r w:rsidRPr="006124E1">
        <w:rPr>
          <w:rFonts w:ascii="Cambria" w:hAnsi="Cambria"/>
          <w:noProof/>
          <w:sz w:val="24"/>
        </w:rPr>
        <w:t xml:space="preserve"> W., Reynolds, A. C., Sobrino, C., &amp; Riedel, G. F. (2009). Shellfish face uncertain future in high CO</w:t>
      </w:r>
      <w:r w:rsidRPr="006124E1">
        <w:rPr>
          <w:rFonts w:ascii="Cambria" w:hAnsi="Cambria"/>
          <w:noProof/>
          <w:sz w:val="24"/>
          <w:vertAlign w:val="subscript"/>
        </w:rPr>
        <w:t>2</w:t>
      </w:r>
      <w:r w:rsidRPr="006124E1">
        <w:rPr>
          <w:rFonts w:ascii="Cambria" w:hAnsi="Cambria"/>
          <w:noProof/>
          <w:sz w:val="24"/>
        </w:rPr>
        <w:t xml:space="preserve"> world: influence of acidification on oyster larvae calcification and growth in estuaries.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4</w:t>
      </w:r>
      <w:r w:rsidRPr="006124E1">
        <w:rPr>
          <w:rFonts w:ascii="Cambria" w:hAnsi="Cambria"/>
          <w:noProof/>
          <w:sz w:val="24"/>
        </w:rPr>
        <w:t>(5), e5661. doi:10.1371/journal.pone.0005661</w:t>
      </w:r>
    </w:p>
    <w:p w14:paraId="63CB840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Papakostas, S., Vasemägi, A., Vähä, J.-P., Himberg, M., Peil, L., &amp; Primmer, C. R. (2012). A proteomics approach reveals divergent molecular responses to salinity in populations of European whitefish (Coregonus lavaretus). </w:t>
      </w:r>
      <w:r w:rsidRPr="006124E1">
        <w:rPr>
          <w:rFonts w:ascii="Cambria" w:hAnsi="Cambria"/>
          <w:i/>
          <w:iCs/>
          <w:noProof/>
          <w:sz w:val="24"/>
        </w:rPr>
        <w:t>Molecular ecology</w:t>
      </w:r>
      <w:r w:rsidRPr="006124E1">
        <w:rPr>
          <w:rFonts w:ascii="Cambria" w:hAnsi="Cambria"/>
          <w:noProof/>
          <w:sz w:val="24"/>
        </w:rPr>
        <w:t xml:space="preserve">, </w:t>
      </w:r>
      <w:r w:rsidRPr="006124E1">
        <w:rPr>
          <w:rFonts w:ascii="Cambria" w:hAnsi="Cambria"/>
          <w:i/>
          <w:iCs/>
          <w:noProof/>
          <w:sz w:val="24"/>
        </w:rPr>
        <w:t>21</w:t>
      </w:r>
      <w:r w:rsidRPr="006124E1">
        <w:rPr>
          <w:rFonts w:ascii="Cambria" w:hAnsi="Cambria"/>
          <w:noProof/>
          <w:sz w:val="24"/>
        </w:rPr>
        <w:t>(14), 3516–30. doi:10.1111/j.1365-294X.2012.05553.x</w:t>
      </w:r>
    </w:p>
    <w:p w14:paraId="119607E6"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Parker, L. M</w:t>
      </w:r>
      <w:r>
        <w:rPr>
          <w:rFonts w:ascii="Cambria" w:hAnsi="Cambria"/>
          <w:noProof/>
          <w:sz w:val="24"/>
        </w:rPr>
        <w:t>., Ross, P. M., &amp; O’Connor, W. A</w:t>
      </w:r>
      <w:r w:rsidRPr="006124E1">
        <w:rPr>
          <w:rFonts w:ascii="Cambria" w:hAnsi="Cambria"/>
          <w:noProof/>
          <w:sz w:val="24"/>
        </w:rPr>
        <w:t>. (2010). Comparing the effect of elevated pCO</w:t>
      </w:r>
      <w:r w:rsidRPr="006124E1">
        <w:rPr>
          <w:rFonts w:ascii="Cambria" w:hAnsi="Cambria"/>
          <w:noProof/>
          <w:sz w:val="24"/>
          <w:vertAlign w:val="subscript"/>
        </w:rPr>
        <w:t>2</w:t>
      </w:r>
      <w:r w:rsidRPr="006124E1">
        <w:rPr>
          <w:rFonts w:ascii="Cambria" w:hAnsi="Cambria"/>
          <w:noProof/>
          <w:sz w:val="24"/>
        </w:rPr>
        <w:t xml:space="preserve"> and temperature on the fertilization and early development of two species of oysters.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157</w:t>
      </w:r>
      <w:r w:rsidRPr="006124E1">
        <w:rPr>
          <w:rFonts w:ascii="Cambria" w:hAnsi="Cambria"/>
          <w:noProof/>
          <w:sz w:val="24"/>
        </w:rPr>
        <w:t>(11), 2435–2452. doi:10.1007/s00227-010-1508-3</w:t>
      </w:r>
    </w:p>
    <w:p w14:paraId="43B9AAD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Parker, L.</w:t>
      </w:r>
      <w:r>
        <w:rPr>
          <w:rFonts w:ascii="Cambria" w:hAnsi="Cambria"/>
          <w:noProof/>
          <w:sz w:val="24"/>
        </w:rPr>
        <w:t xml:space="preserve"> M., Ross, P. M., O’Connor, W. A</w:t>
      </w:r>
      <w:r w:rsidRPr="006124E1">
        <w:rPr>
          <w:rFonts w:ascii="Cambria" w:hAnsi="Cambria"/>
          <w:noProof/>
          <w:sz w:val="24"/>
        </w:rPr>
        <w:t xml:space="preserve">., Borysko, L., Raftos, D. a., &amp; Pörtner, H.-O. (2012). Adult exposure influences offspring response to ocean acidification in oysters.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18</w:t>
      </w:r>
      <w:r w:rsidRPr="006124E1">
        <w:rPr>
          <w:rFonts w:ascii="Cambria" w:hAnsi="Cambria"/>
          <w:noProof/>
          <w:sz w:val="24"/>
        </w:rPr>
        <w:t>(1), 82–92. doi:10.1111/j.1365-2486.2011.02520.x</w:t>
      </w:r>
    </w:p>
    <w:p w14:paraId="44DCD5D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Parker, L. M., Ross, P. M., Raftos, D., Thompson, E., &amp; O’Connor, W. A. (2011). The proteomic response of larvae of the Sydney rock oyster, Saccostrea glomerata to elevated pCO2. </w:t>
      </w:r>
      <w:r w:rsidRPr="006124E1">
        <w:rPr>
          <w:rFonts w:ascii="Cambria" w:hAnsi="Cambria"/>
          <w:i/>
          <w:iCs/>
          <w:noProof/>
          <w:sz w:val="24"/>
        </w:rPr>
        <w:t>Australian zoologist</w:t>
      </w:r>
      <w:r w:rsidRPr="006124E1">
        <w:rPr>
          <w:rFonts w:ascii="Cambria" w:hAnsi="Cambria"/>
          <w:noProof/>
          <w:sz w:val="24"/>
        </w:rPr>
        <w:t xml:space="preserve">, </w:t>
      </w:r>
      <w:r w:rsidRPr="006124E1">
        <w:rPr>
          <w:rFonts w:ascii="Cambria" w:hAnsi="Cambria"/>
          <w:i/>
          <w:iCs/>
          <w:noProof/>
          <w:sz w:val="24"/>
        </w:rPr>
        <w:t>35</w:t>
      </w:r>
      <w:r w:rsidRPr="006124E1">
        <w:rPr>
          <w:rFonts w:ascii="Cambria" w:hAnsi="Cambria"/>
          <w:noProof/>
          <w:sz w:val="24"/>
        </w:rPr>
        <w:t>(4), 1011–1023.</w:t>
      </w:r>
    </w:p>
    <w:p w14:paraId="6704BF7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Parker, R., Guarna, M. M., Melathopoulos, A. P., Moon, K.-M., White, R., Huxter, E., … Foster, L. J. (2012). Correlation of proteome-wide changes with social immunity behaviors provides insight into resistance to the parasitic mite, Varroa destructor, in the honey bee (Apis mellifera). </w:t>
      </w:r>
      <w:r w:rsidRPr="006124E1">
        <w:rPr>
          <w:rFonts w:ascii="Cambria" w:hAnsi="Cambria"/>
          <w:i/>
          <w:iCs/>
          <w:noProof/>
          <w:sz w:val="24"/>
        </w:rPr>
        <w:t>Genome biology</w:t>
      </w:r>
      <w:r w:rsidRPr="006124E1">
        <w:rPr>
          <w:rFonts w:ascii="Cambria" w:hAnsi="Cambria"/>
          <w:noProof/>
          <w:sz w:val="24"/>
        </w:rPr>
        <w:t xml:space="preserve">, </w:t>
      </w:r>
      <w:r w:rsidRPr="006124E1">
        <w:rPr>
          <w:rFonts w:ascii="Cambria" w:hAnsi="Cambria"/>
          <w:i/>
          <w:iCs/>
          <w:noProof/>
          <w:sz w:val="24"/>
        </w:rPr>
        <w:t>13</w:t>
      </w:r>
      <w:r w:rsidRPr="006124E1">
        <w:rPr>
          <w:rFonts w:ascii="Cambria" w:hAnsi="Cambria"/>
          <w:noProof/>
          <w:sz w:val="24"/>
        </w:rPr>
        <w:t>(9), R81. doi:10.1186/gb-2012-13-9-r81</w:t>
      </w:r>
    </w:p>
    <w:p w14:paraId="3C315B8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Pespeni, M. H., Sanford, E., Gaylord, B., Hill, T. M., Hosfelt, J. D., Jaris, H. K., … Palumbi, S. R. (2013). Evolutionary change during experimental ocean acidification. </w:t>
      </w:r>
      <w:r w:rsidRPr="006124E1">
        <w:rPr>
          <w:rFonts w:ascii="Cambria" w:hAnsi="Cambria"/>
          <w:i/>
          <w:iCs/>
          <w:noProof/>
          <w:sz w:val="24"/>
        </w:rPr>
        <w:t>Proceedings of the National Academy of Sciences of the United States of America</w:t>
      </w:r>
      <w:r w:rsidRPr="006124E1">
        <w:rPr>
          <w:rFonts w:ascii="Cambria" w:hAnsi="Cambria"/>
          <w:noProof/>
          <w:sz w:val="24"/>
        </w:rPr>
        <w:t xml:space="preserve">, </w:t>
      </w:r>
      <w:r w:rsidRPr="006124E1">
        <w:rPr>
          <w:rFonts w:ascii="Cambria" w:hAnsi="Cambria"/>
          <w:i/>
          <w:iCs/>
          <w:noProof/>
          <w:sz w:val="24"/>
        </w:rPr>
        <w:t>110</w:t>
      </w:r>
      <w:r w:rsidRPr="006124E1">
        <w:rPr>
          <w:rFonts w:ascii="Cambria" w:hAnsi="Cambria"/>
          <w:noProof/>
          <w:sz w:val="24"/>
        </w:rPr>
        <w:t>(17), 6937–42. doi:10.1073/pnas.1220673110</w:t>
      </w:r>
    </w:p>
    <w:p w14:paraId="4C91C94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Smith, A. S. V, &amp; Key, G. S. (1975). Carbon Dioxide and Me</w:t>
      </w:r>
      <w:r>
        <w:rPr>
          <w:rFonts w:ascii="Cambria" w:hAnsi="Cambria"/>
          <w:noProof/>
          <w:sz w:val="24"/>
        </w:rPr>
        <w:t xml:space="preserve">tabolism in Marine Environments. </w:t>
      </w:r>
      <w:r>
        <w:rPr>
          <w:rFonts w:ascii="Cambria" w:hAnsi="Cambria"/>
          <w:i/>
          <w:noProof/>
          <w:sz w:val="24"/>
        </w:rPr>
        <w:t>Limnology and Oceanography,</w:t>
      </w:r>
      <w:r w:rsidRPr="006124E1">
        <w:rPr>
          <w:rFonts w:ascii="Cambria" w:hAnsi="Cambria"/>
          <w:noProof/>
          <w:sz w:val="24"/>
        </w:rPr>
        <w:t xml:space="preserve"> </w:t>
      </w:r>
      <w:r w:rsidRPr="006124E1">
        <w:rPr>
          <w:rFonts w:ascii="Cambria" w:hAnsi="Cambria"/>
          <w:i/>
          <w:iCs/>
          <w:noProof/>
          <w:sz w:val="24"/>
        </w:rPr>
        <w:t>20</w:t>
      </w:r>
      <w:r w:rsidRPr="006124E1">
        <w:rPr>
          <w:rFonts w:ascii="Cambria" w:hAnsi="Cambria"/>
          <w:noProof/>
          <w:sz w:val="24"/>
        </w:rPr>
        <w:t>(3), 493–495.</w:t>
      </w:r>
    </w:p>
    <w:p w14:paraId="0FE2695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Talmage, S. C., &amp; Gobler, C. J. (2011). Effects of elevated temperature and carbon dioxide on the growth and survival of larvae and juveniles of three species of northwest Atlantic bivalves.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(10), e26941. doi:10.1371/journal.pone.0026941</w:t>
      </w:r>
    </w:p>
    <w:p w14:paraId="7BF0780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Thomsen, J., Casties, I., Pansch, C., Körtzinger, A., &amp; Melzner, F. (2013). Food availability outweighs ocean acidification effects in juvenile Mytilus edulis: laboratory and field experiments.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19</w:t>
      </w:r>
      <w:r w:rsidRPr="006124E1">
        <w:rPr>
          <w:rFonts w:ascii="Cambria" w:hAnsi="Cambria"/>
          <w:noProof/>
          <w:sz w:val="24"/>
        </w:rPr>
        <w:t>(4), 1017–27. doi:10.1111/gcb.12109</w:t>
      </w:r>
    </w:p>
    <w:p w14:paraId="5338EE8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Thomsen, J., &amp; Melzner, F. (2010). Moderate seawater acidification does not elicit long-term metabolic depression in the blue mussel Mytilus edulis.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157</w:t>
      </w:r>
      <w:r w:rsidRPr="006124E1">
        <w:rPr>
          <w:rFonts w:ascii="Cambria" w:hAnsi="Cambria"/>
          <w:noProof/>
          <w:sz w:val="24"/>
        </w:rPr>
        <w:t>(12), 2667–2676. doi:10.1007/s00227-010-1527-0</w:t>
      </w:r>
    </w:p>
    <w:p w14:paraId="4A233FA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Timmins-Schiffman, E., O’Donnell, M. J., Friedman, C. S., &amp; Roberts, S. B. (2012). Elevated pCO</w:t>
      </w:r>
      <w:r w:rsidRPr="006124E1">
        <w:rPr>
          <w:rFonts w:ascii="Cambria" w:hAnsi="Cambria"/>
          <w:noProof/>
          <w:sz w:val="24"/>
          <w:vertAlign w:val="subscript"/>
        </w:rPr>
        <w:t>2</w:t>
      </w:r>
      <w:r w:rsidRPr="006124E1">
        <w:rPr>
          <w:rFonts w:ascii="Cambria" w:hAnsi="Cambria"/>
          <w:noProof/>
          <w:sz w:val="24"/>
        </w:rPr>
        <w:t xml:space="preserve"> causes developmental delay in early larval Pacific oysters, Crassostrea gigas.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160</w:t>
      </w:r>
      <w:r w:rsidRPr="006124E1">
        <w:rPr>
          <w:rFonts w:ascii="Cambria" w:hAnsi="Cambria"/>
          <w:noProof/>
          <w:sz w:val="24"/>
        </w:rPr>
        <w:t>(8), 1973–1982. doi:10.1007/s00227-012-2055-x</w:t>
      </w:r>
    </w:p>
    <w:p w14:paraId="454DD39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Tomanek, L., Zuzow, M. J., Ivanina, A. V, Beniash, E., &amp; Sokolova, I. M. (2011). Proteomic response to elevated P</w:t>
      </w:r>
      <w:r w:rsidRPr="006124E1">
        <w:rPr>
          <w:rFonts w:ascii="Cambria" w:hAnsi="Cambria"/>
          <w:noProof/>
          <w:sz w:val="24"/>
          <w:vertAlign w:val="subscript"/>
        </w:rPr>
        <w:t>CO2</w:t>
      </w:r>
      <w:r w:rsidRPr="006124E1">
        <w:rPr>
          <w:rFonts w:ascii="Cambria" w:hAnsi="Cambria"/>
          <w:noProof/>
          <w:sz w:val="24"/>
        </w:rPr>
        <w:t xml:space="preserve"> level in eastern oysters, Crassostrea virginica: evidence for oxidative stress.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214</w:t>
      </w:r>
      <w:r w:rsidRPr="006124E1">
        <w:rPr>
          <w:rFonts w:ascii="Cambria" w:hAnsi="Cambria"/>
          <w:noProof/>
          <w:sz w:val="24"/>
        </w:rPr>
        <w:t>(Pt 11), 1836–44. doi:10.1242/jeb.055475</w:t>
      </w:r>
    </w:p>
    <w:p w14:paraId="55BC281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Waldbusser, G., Bergschneider, H., &amp; Green, M. (2010). Size-dependent pH effect on calcification in post-larval hard clam Mercenaria spp. </w:t>
      </w:r>
      <w:r w:rsidRPr="006124E1">
        <w:rPr>
          <w:rFonts w:ascii="Cambria" w:hAnsi="Cambria"/>
          <w:i/>
          <w:iCs/>
          <w:noProof/>
          <w:sz w:val="24"/>
        </w:rPr>
        <w:t>Marine Ecology Progress Series</w:t>
      </w:r>
      <w:r w:rsidRPr="006124E1">
        <w:rPr>
          <w:rFonts w:ascii="Cambria" w:hAnsi="Cambria"/>
          <w:noProof/>
          <w:sz w:val="24"/>
        </w:rPr>
        <w:t xml:space="preserve">, </w:t>
      </w:r>
      <w:r w:rsidRPr="006124E1">
        <w:rPr>
          <w:rFonts w:ascii="Cambria" w:hAnsi="Cambria"/>
          <w:i/>
          <w:iCs/>
          <w:noProof/>
          <w:sz w:val="24"/>
        </w:rPr>
        <w:t>417</w:t>
      </w:r>
      <w:r w:rsidRPr="006124E1">
        <w:rPr>
          <w:rFonts w:ascii="Cambria" w:hAnsi="Cambria"/>
          <w:noProof/>
          <w:sz w:val="24"/>
        </w:rPr>
        <w:t>(x), 171–182. doi:10.3354/meps08809</w:t>
      </w:r>
    </w:p>
    <w:p w14:paraId="2E5AF67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Waldbusser, G. G., Brunner, E. L., Haley, B. a., Hales, B., Langdon, C. J., &amp; Prahl, F. G. (2013). A developmental and energetic basis linking larval oyster shell formation to acidification sensitivity.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(10), 2171–2176. doi:10.1002/grl.50449</w:t>
      </w:r>
    </w:p>
    <w:p w14:paraId="72ACF8B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Welladsen, H. M., Southgate, P. C., &amp; Heimann, K. (2010). The effects of exposure to near-future levels of ocean acidification on shell characteristics of Pinctada fucata ( Bivalvia </w:t>
      </w:r>
      <w:r>
        <w:rPr>
          <w:rFonts w:ascii="Cambria" w:hAnsi="Cambria"/>
          <w:noProof/>
          <w:sz w:val="24"/>
        </w:rPr>
        <w:t xml:space="preserve">: Pteriidae ). </w:t>
      </w:r>
      <w:r>
        <w:rPr>
          <w:rFonts w:ascii="Cambria" w:hAnsi="Cambria"/>
          <w:i/>
          <w:noProof/>
          <w:sz w:val="24"/>
        </w:rPr>
        <w:t>Molluscan Research,</w:t>
      </w:r>
      <w:r w:rsidRPr="006124E1">
        <w:rPr>
          <w:rFonts w:ascii="Cambria" w:hAnsi="Cambria"/>
          <w:noProof/>
          <w:sz w:val="24"/>
        </w:rPr>
        <w:t xml:space="preserve"> </w:t>
      </w:r>
      <w:r w:rsidRPr="006124E1">
        <w:rPr>
          <w:rFonts w:ascii="Cambria" w:hAnsi="Cambria"/>
          <w:i/>
          <w:iCs/>
          <w:noProof/>
          <w:sz w:val="24"/>
        </w:rPr>
        <w:t>30</w:t>
      </w:r>
      <w:r w:rsidRPr="006124E1">
        <w:rPr>
          <w:rFonts w:ascii="Cambria" w:hAnsi="Cambria"/>
          <w:noProof/>
          <w:sz w:val="24"/>
        </w:rPr>
        <w:t>(3), 125–130.</w:t>
      </w:r>
    </w:p>
    <w:p w14:paraId="70CF1A2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Wong, K. K. W., Lane, A. C., Leung, P. T. Y., &amp; Thiyagarajan, V. (2011). Response of l</w:t>
      </w:r>
      <w:r>
        <w:rPr>
          <w:rFonts w:ascii="Cambria" w:hAnsi="Cambria"/>
          <w:noProof/>
          <w:sz w:val="24"/>
        </w:rPr>
        <w:t>arval barnacle proteome to CO</w:t>
      </w:r>
      <w:r w:rsidRPr="006124E1">
        <w:rPr>
          <w:rFonts w:ascii="Cambria" w:hAnsi="Cambria"/>
          <w:noProof/>
          <w:sz w:val="24"/>
          <w:vertAlign w:val="subscript"/>
        </w:rPr>
        <w:t>2</w:t>
      </w:r>
      <w:r w:rsidRPr="006124E1">
        <w:rPr>
          <w:rFonts w:ascii="Cambria" w:hAnsi="Cambria"/>
          <w:noProof/>
          <w:sz w:val="24"/>
        </w:rPr>
        <w:t xml:space="preserve">-driven seawater acidification. </w:t>
      </w:r>
      <w:r w:rsidRPr="006124E1">
        <w:rPr>
          <w:rFonts w:ascii="Cambria" w:hAnsi="Cambria"/>
          <w:i/>
          <w:iCs/>
          <w:noProof/>
          <w:sz w:val="24"/>
        </w:rPr>
        <w:t>Comparative biochemistry and physiology. Part D, Genomics &amp; proteomics</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(3), 310–21. doi:10.1016/j.cbd.2011.07.001</w:t>
      </w:r>
    </w:p>
    <w:p w14:paraId="542B9D6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Zeebe, R. E. (2012). History of Seawater Carbo</w:t>
      </w:r>
      <w:r>
        <w:rPr>
          <w:rFonts w:ascii="Cambria" w:hAnsi="Cambria"/>
          <w:noProof/>
          <w:sz w:val="24"/>
        </w:rPr>
        <w:t>nate Chemistry, Atmospheric CO</w:t>
      </w:r>
      <w:r w:rsidRPr="006124E1">
        <w:rPr>
          <w:rFonts w:ascii="Cambria" w:hAnsi="Cambria"/>
          <w:noProof/>
          <w:sz w:val="24"/>
          <w:vertAlign w:val="subscript"/>
        </w:rPr>
        <w:t>2</w:t>
      </w:r>
      <w:r w:rsidRPr="006124E1">
        <w:rPr>
          <w:rFonts w:ascii="Cambria" w:hAnsi="Cambria"/>
          <w:noProof/>
          <w:sz w:val="24"/>
        </w:rPr>
        <w:t xml:space="preserve"> , and Ocean Acidification. </w:t>
      </w:r>
      <w:r w:rsidRPr="006124E1">
        <w:rPr>
          <w:rFonts w:ascii="Cambria" w:hAnsi="Cambria"/>
          <w:i/>
          <w:iCs/>
          <w:noProof/>
          <w:sz w:val="24"/>
        </w:rPr>
        <w:t>Annual Review of Earth and Planetary Sciences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 141–165. doi:10.1146/annurev-earth-042711-105521</w:t>
      </w:r>
    </w:p>
    <w:p w14:paraId="2841E0F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Zhang, G., Fang, X., Guo, X., Li, L., Luo, R., Xu, F., … Qi, H. (2012). The oyster genome reveals stress adaptation and complexity of shell formation. </w:t>
      </w:r>
      <w:r w:rsidRPr="006124E1">
        <w:rPr>
          <w:rFonts w:ascii="Cambria" w:hAnsi="Cambria"/>
          <w:i/>
          <w:iCs/>
          <w:noProof/>
          <w:sz w:val="24"/>
        </w:rPr>
        <w:t>Nature</w:t>
      </w:r>
      <w:r w:rsidRPr="006124E1">
        <w:rPr>
          <w:rFonts w:ascii="Cambria" w:hAnsi="Cambria"/>
          <w:noProof/>
          <w:sz w:val="24"/>
        </w:rPr>
        <w:t xml:space="preserve">, </w:t>
      </w:r>
      <w:r w:rsidRPr="006124E1">
        <w:rPr>
          <w:rFonts w:ascii="Cambria" w:hAnsi="Cambria"/>
          <w:i/>
          <w:iCs/>
          <w:noProof/>
          <w:sz w:val="24"/>
        </w:rPr>
        <w:t>490</w:t>
      </w:r>
      <w:r w:rsidRPr="006124E1">
        <w:rPr>
          <w:rFonts w:ascii="Cambria" w:hAnsi="Cambria"/>
          <w:noProof/>
          <w:sz w:val="24"/>
        </w:rPr>
        <w:t>(7418), 49–54. doi:10.1038/nature11413</w:t>
      </w:r>
    </w:p>
    <w:p w14:paraId="0211AFCF" w14:textId="02604331" w:rsidR="00D92FB6" w:rsidRPr="00D92FB6" w:rsidRDefault="00D92FB6" w:rsidP="00D92FB6">
      <w:r>
        <w:fldChar w:fldCharType="end"/>
      </w:r>
    </w:p>
    <w:p w14:paraId="5AD537D2" w14:textId="77777777" w:rsidR="005643FD" w:rsidRDefault="005643FD" w:rsidP="00C02D9B">
      <w:pPr>
        <w:pStyle w:val="Heading1"/>
      </w:pPr>
    </w:p>
    <w:p w14:paraId="40CB53DF" w14:textId="77777777" w:rsidR="005643FD" w:rsidRDefault="005643FD" w:rsidP="00C02D9B">
      <w:pPr>
        <w:pStyle w:val="Heading1"/>
      </w:pPr>
    </w:p>
    <w:p w14:paraId="42C5B2F2" w14:textId="77777777" w:rsidR="005643FD" w:rsidRDefault="005643FD" w:rsidP="005643FD"/>
    <w:p w14:paraId="356EB77F" w14:textId="77777777" w:rsidR="005643FD" w:rsidRDefault="005643FD" w:rsidP="005643FD"/>
    <w:p w14:paraId="738244D9" w14:textId="77777777" w:rsidR="005643FD" w:rsidRDefault="005643FD" w:rsidP="005643FD"/>
    <w:p w14:paraId="67981E22" w14:textId="77777777" w:rsidR="005643FD" w:rsidRDefault="005643FD" w:rsidP="005643FD"/>
    <w:p w14:paraId="51C8EE5E" w14:textId="77777777" w:rsidR="005643FD" w:rsidRDefault="005643FD" w:rsidP="005643FD"/>
    <w:p w14:paraId="246D7B32" w14:textId="77777777" w:rsidR="005643FD" w:rsidRDefault="005643FD" w:rsidP="005643FD"/>
    <w:p w14:paraId="171BE7FC" w14:textId="77777777" w:rsidR="005643FD" w:rsidRDefault="005643FD" w:rsidP="005643FD"/>
    <w:p w14:paraId="3E3DD729" w14:textId="77777777" w:rsidR="00C02D9B" w:rsidRDefault="00C02D9B" w:rsidP="005643FD">
      <w:pPr>
        <w:pStyle w:val="Heading1"/>
        <w:rPr>
          <w:i/>
        </w:rPr>
      </w:pPr>
      <w:bookmarkStart w:id="13" w:name="_Toc252109978"/>
      <w:r>
        <w:t xml:space="preserve">Chapter I: Elevated </w:t>
      </w:r>
      <w:r w:rsidRPr="005643FD">
        <w:rPr>
          <w:i/>
        </w:rPr>
        <w:t>p</w:t>
      </w:r>
      <w:r>
        <w:t>CO</w:t>
      </w:r>
      <w:r w:rsidRPr="00860E0A">
        <w:rPr>
          <w:vertAlign w:val="subscript"/>
        </w:rPr>
        <w:t>2</w:t>
      </w:r>
      <w:r>
        <w:t xml:space="preserve"> causes developmental delay in early larval Pacific oysters, </w:t>
      </w:r>
      <w:r>
        <w:rPr>
          <w:i/>
        </w:rPr>
        <w:t>Crassostrea gigas</w:t>
      </w:r>
      <w:bookmarkEnd w:id="13"/>
    </w:p>
    <w:p w14:paraId="74F3CB67" w14:textId="77777777" w:rsidR="00722A74" w:rsidRDefault="00722A74" w:rsidP="00722A74"/>
    <w:p w14:paraId="47CF1C1D" w14:textId="2A36B1CD" w:rsidR="00722A74" w:rsidRPr="00722A74" w:rsidRDefault="00722A74" w:rsidP="00722A74">
      <w:r>
        <w:t xml:space="preserve">Published in Marine Biology as: Timmins-Schiffman, E., O’Donnell, M.J., Friedman, C.S., and Roberts, S.B. 2013. Elevated </w:t>
      </w:r>
      <w:r w:rsidRPr="00722A74">
        <w:rPr>
          <w:i/>
        </w:rPr>
        <w:t>p</w:t>
      </w:r>
      <w:r>
        <w:t>CO</w:t>
      </w:r>
      <w:r w:rsidRPr="00722A74">
        <w:rPr>
          <w:vertAlign w:val="subscript"/>
        </w:rPr>
        <w:t>2</w:t>
      </w:r>
      <w:r>
        <w:t xml:space="preserve"> causes developmental delay in early larval Pacific oysters, </w:t>
      </w:r>
      <w:r w:rsidRPr="00B2686F">
        <w:rPr>
          <w:i/>
        </w:rPr>
        <w:t>Crassostrea gigas</w:t>
      </w:r>
      <w:r>
        <w:t xml:space="preserve">. </w:t>
      </w:r>
      <w:proofErr w:type="gramStart"/>
      <w:r>
        <w:t>Mar Biol, 160: 1973-1982.</w:t>
      </w:r>
      <w:proofErr w:type="gramEnd"/>
      <w:r>
        <w:t xml:space="preserve"> </w:t>
      </w:r>
      <w:proofErr w:type="gramStart"/>
      <w:r>
        <w:t>doi</w:t>
      </w:r>
      <w:proofErr w:type="gramEnd"/>
      <w:r>
        <w:t xml:space="preserve"> 10.1007/s00227-012-2055-x</w:t>
      </w:r>
    </w:p>
    <w:p w14:paraId="65740A72" w14:textId="77777777" w:rsidR="00C02D9B" w:rsidRDefault="00C02D9B" w:rsidP="00C02D9B">
      <w:pPr>
        <w:pStyle w:val="Heading2"/>
      </w:pPr>
      <w:bookmarkStart w:id="14" w:name="_Toc252109979"/>
      <w:r>
        <w:t>Abstract</w:t>
      </w:r>
      <w:bookmarkEnd w:id="14"/>
    </w:p>
    <w:p w14:paraId="249F7894" w14:textId="77777777" w:rsidR="005643FD" w:rsidRPr="005643FD" w:rsidRDefault="005643FD" w:rsidP="005643FD"/>
    <w:p w14:paraId="2FC1AD5A" w14:textId="0879C1CB" w:rsidR="00C02D9B" w:rsidRPr="00353A53" w:rsidRDefault="00C02D9B" w:rsidP="00426D9F">
      <w:pPr>
        <w:widowControl w:val="0"/>
        <w:autoSpaceDE w:val="0"/>
        <w:autoSpaceDN w:val="0"/>
        <w:adjustRightInd w:val="0"/>
        <w:spacing w:line="360" w:lineRule="auto"/>
        <w:rPr>
          <w:rFonts w:ascii="Times" w:hAnsi="Times" w:cs="AdvPTimes"/>
        </w:rPr>
      </w:pPr>
      <w:r w:rsidRPr="00353A53">
        <w:rPr>
          <w:rFonts w:ascii="Times" w:hAnsi="Times" w:cs="AdvPTimes"/>
        </w:rPr>
        <w:t>Increasing atmospheric CO</w:t>
      </w:r>
      <w:r w:rsidRPr="009454B5">
        <w:rPr>
          <w:rFonts w:ascii="Times" w:hAnsi="Times" w:cs="AdvPTimes"/>
          <w:vertAlign w:val="subscript"/>
        </w:rPr>
        <w:t>2</w:t>
      </w:r>
      <w:r w:rsidRPr="00353A53">
        <w:rPr>
          <w:rFonts w:ascii="Times" w:hAnsi="Times" w:cs="AdvPTimes"/>
        </w:rPr>
        <w:t xml:space="preserve"> equilibrates with surface seawater, elevating the concentration of aqueous hydrogen ions. This process, ocean acidification, is a future and contemporary concern for aquatic organisms, causing failures in Pacific oyster (</w:t>
      </w:r>
      <w:r w:rsidRPr="00353A53">
        <w:rPr>
          <w:rFonts w:ascii="Times" w:hAnsi="Times" w:cs="AdvPTimes"/>
          <w:i/>
        </w:rPr>
        <w:t>Crassostrea gigas</w:t>
      </w:r>
      <w:r w:rsidRPr="00353A53">
        <w:rPr>
          <w:rFonts w:ascii="Times" w:hAnsi="Times" w:cs="AdvPTimes"/>
        </w:rPr>
        <w:t xml:space="preserve">) aquaculture.  This experiment determines the effect of elevated </w:t>
      </w:r>
      <w:r w:rsidRPr="00353A53">
        <w:rPr>
          <w:rFonts w:ascii="Times" w:hAnsi="Times" w:cs="AdvPTimes"/>
          <w:i/>
        </w:rPr>
        <w:t>p</w:t>
      </w:r>
      <w:r w:rsidRPr="00353A53">
        <w:rPr>
          <w:rFonts w:ascii="Times" w:hAnsi="Times" w:cs="AdvPTimes"/>
        </w:rPr>
        <w:t>CO</w:t>
      </w:r>
      <w:r w:rsidRPr="00353A53">
        <w:rPr>
          <w:rFonts w:ascii="Times" w:hAnsi="Times" w:cs="AdvPTimes"/>
          <w:vertAlign w:val="subscript"/>
        </w:rPr>
        <w:t>2</w:t>
      </w:r>
      <w:r w:rsidRPr="00353A53">
        <w:rPr>
          <w:rFonts w:ascii="Times" w:hAnsi="Times" w:cs="AdvPTimes"/>
        </w:rPr>
        <w:t xml:space="preserve"> on the early development of </w:t>
      </w:r>
      <w:r w:rsidRPr="00353A53">
        <w:rPr>
          <w:rFonts w:ascii="Times" w:hAnsi="Times" w:cs="AdvPTimes"/>
          <w:i/>
        </w:rPr>
        <w:t>C. gigas</w:t>
      </w:r>
      <w:r w:rsidRPr="00353A53">
        <w:rPr>
          <w:rFonts w:ascii="Times" w:hAnsi="Times" w:cs="AdvPTimes"/>
        </w:rPr>
        <w:t xml:space="preserve"> larvae from a wild Pacific Northwest population. Adults were collected from Fri</w:t>
      </w:r>
      <w:r w:rsidR="00353A53">
        <w:rPr>
          <w:rFonts w:ascii="Times" w:hAnsi="Times" w:cs="AdvPTimes"/>
        </w:rPr>
        <w:t>day Harbor, Washington, USA (48°31’</w:t>
      </w:r>
      <w:r w:rsidRPr="00353A53">
        <w:rPr>
          <w:rFonts w:ascii="Times" w:hAnsi="Times" w:cs="AdvPTimes"/>
        </w:rPr>
        <w:t>70</w:t>
      </w:r>
      <w:r w:rsidR="00353A53">
        <w:rPr>
          <w:rFonts w:ascii="Times" w:hAnsi="Times" w:cs="AdvPTimes"/>
        </w:rPr>
        <w:t>N, 12°1’</w:t>
      </w:r>
      <w:r w:rsidRPr="00353A53">
        <w:rPr>
          <w:rFonts w:ascii="Times" w:hAnsi="Times" w:cs="AdvPTimes"/>
        </w:rPr>
        <w:t>10W) and spawned in July 2011. Larva</w:t>
      </w:r>
      <w:r w:rsidR="00353A53">
        <w:rPr>
          <w:rFonts w:ascii="Times" w:hAnsi="Times" w:cs="AdvPTimes"/>
        </w:rPr>
        <w:t>e were exposed to Ambient (400 μ</w:t>
      </w:r>
      <w:r w:rsidRPr="00353A53">
        <w:rPr>
          <w:rFonts w:ascii="Times" w:hAnsi="Times" w:cs="AdvPTimes"/>
        </w:rPr>
        <w:t>atm CO</w:t>
      </w:r>
      <w:r w:rsidRPr="00353A53">
        <w:rPr>
          <w:rFonts w:ascii="Times" w:hAnsi="Times" w:cs="AdvPTimes"/>
          <w:vertAlign w:val="subscript"/>
        </w:rPr>
        <w:t>2</w:t>
      </w:r>
      <w:r w:rsidRPr="00353A53">
        <w:rPr>
          <w:rFonts w:ascii="Times" w:hAnsi="Times" w:cs="AdvPTimes"/>
        </w:rPr>
        <w:t>), MidCO</w:t>
      </w:r>
      <w:r w:rsidRPr="00353A53">
        <w:rPr>
          <w:rFonts w:ascii="Times" w:hAnsi="Times" w:cs="AdvPTimes"/>
          <w:vertAlign w:val="subscript"/>
        </w:rPr>
        <w:t>2</w:t>
      </w:r>
      <w:r w:rsidRPr="00353A53">
        <w:rPr>
          <w:rFonts w:ascii="Times" w:hAnsi="Times" w:cs="AdvPTimes"/>
        </w:rPr>
        <w:t xml:space="preserve"> </w:t>
      </w:r>
      <w:r w:rsidR="00353A53">
        <w:rPr>
          <w:rFonts w:ascii="Times" w:hAnsi="Times" w:cs="AdvPTimes"/>
        </w:rPr>
        <w:t>(700 μ</w:t>
      </w:r>
      <w:r w:rsidRPr="00353A53">
        <w:rPr>
          <w:rFonts w:ascii="Times" w:hAnsi="Times" w:cs="AdvPTimes"/>
        </w:rPr>
        <w:t>atm), or HighCO</w:t>
      </w:r>
      <w:r w:rsidRPr="00353A53">
        <w:rPr>
          <w:rFonts w:ascii="Times" w:hAnsi="Times" w:cs="AdvPTimes"/>
          <w:vertAlign w:val="subscript"/>
        </w:rPr>
        <w:t>2</w:t>
      </w:r>
      <w:r w:rsidR="00353A53">
        <w:rPr>
          <w:rFonts w:ascii="Times" w:hAnsi="Times" w:cs="AdvPTimes"/>
        </w:rPr>
        <w:t xml:space="preserve"> (1,000 μ</w:t>
      </w:r>
      <w:r w:rsidRPr="00353A53">
        <w:rPr>
          <w:rFonts w:ascii="Times" w:hAnsi="Times" w:cs="AdvPTimes"/>
        </w:rPr>
        <w:t>atm). After 24 h, a greater proportion of larvae in the HighCO</w:t>
      </w:r>
      <w:r w:rsidRPr="00353A53">
        <w:rPr>
          <w:rFonts w:ascii="Times" w:hAnsi="Times" w:cs="AdvPTimes"/>
          <w:vertAlign w:val="subscript"/>
        </w:rPr>
        <w:t>2</w:t>
      </w:r>
      <w:r w:rsidRPr="00353A53">
        <w:rPr>
          <w:rFonts w:ascii="Times" w:hAnsi="Times" w:cs="AdvPTimes"/>
        </w:rPr>
        <w:t xml:space="preserve"> treatment were calcified as compared to Ambient. This unexpected observation is attributed to increased metabolic rate coupled with sufficient energy resources. Oyster larvae </w:t>
      </w:r>
      <w:proofErr w:type="gramStart"/>
      <w:r w:rsidRPr="00353A53">
        <w:rPr>
          <w:rFonts w:ascii="Times" w:hAnsi="Times" w:cs="AdvPTimes"/>
        </w:rPr>
        <w:t>raised</w:t>
      </w:r>
      <w:proofErr w:type="gramEnd"/>
      <w:r w:rsidRPr="00353A53">
        <w:rPr>
          <w:rFonts w:ascii="Times" w:hAnsi="Times" w:cs="AdvPTimes"/>
        </w:rPr>
        <w:t xml:space="preserve"> at HighCO</w:t>
      </w:r>
      <w:r w:rsidR="00A14DF5" w:rsidRPr="00A14DF5">
        <w:rPr>
          <w:rFonts w:ascii="Times" w:hAnsi="Times" w:cs="AdvPTimes"/>
          <w:vertAlign w:val="subscript"/>
        </w:rPr>
        <w:t>2</w:t>
      </w:r>
      <w:r w:rsidRPr="00353A53">
        <w:rPr>
          <w:rFonts w:ascii="Times" w:hAnsi="Times" w:cs="AdvPTimes"/>
        </w:rPr>
        <w:t xml:space="preserve"> showed evidence of a developmental delay by 3 days post-fertilization, which resulted in smaller larvae that were less calcified.</w:t>
      </w:r>
    </w:p>
    <w:p w14:paraId="34242BCA" w14:textId="77777777" w:rsidR="00C02D9B" w:rsidRDefault="00C02D9B" w:rsidP="00C02D9B">
      <w:pPr>
        <w:pStyle w:val="Heading2"/>
      </w:pPr>
      <w:bookmarkStart w:id="15" w:name="_Toc252109980"/>
      <w:r>
        <w:t>Introduction</w:t>
      </w:r>
      <w:bookmarkEnd w:id="15"/>
    </w:p>
    <w:p w14:paraId="14E18AED" w14:textId="77777777" w:rsidR="005643FD" w:rsidRPr="005643FD" w:rsidRDefault="005643FD" w:rsidP="005643FD"/>
    <w:p w14:paraId="6AB0B2E8" w14:textId="0C2B7BED"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Ocean acidification is expected to affect ecosystems at an accelerating pace over the next century (Caldeira and Wickett </w:t>
      </w:r>
      <w:r w:rsidRPr="00E01B09">
        <w:rPr>
          <w:rFonts w:ascii="Times" w:hAnsi="Times" w:cs="AdvPTimes"/>
          <w:color w:val="0000FF"/>
        </w:rPr>
        <w:t>2003</w:t>
      </w:r>
      <w:r w:rsidRPr="00E01B09">
        <w:rPr>
          <w:rFonts w:ascii="Times" w:hAnsi="Times" w:cs="AdvPTimes"/>
          <w:color w:val="000000"/>
        </w:rPr>
        <w:t xml:space="preserve">; IPCC </w:t>
      </w:r>
      <w:r w:rsidRPr="00E01B09">
        <w:rPr>
          <w:rFonts w:ascii="Times" w:hAnsi="Times" w:cs="AdvPTimes"/>
          <w:color w:val="0000FF"/>
        </w:rPr>
        <w:t>2007</w:t>
      </w:r>
      <w:r w:rsidRPr="00E01B09">
        <w:rPr>
          <w:rFonts w:ascii="Times" w:hAnsi="Times" w:cs="AdvPTimes"/>
          <w:color w:val="000000"/>
        </w:rPr>
        <w:t>). Seawater pH declines (acidifies) in association with the uptake of anthropogenic CO</w:t>
      </w:r>
      <w:r w:rsidRPr="00353A53">
        <w:rPr>
          <w:rFonts w:ascii="Times" w:hAnsi="Times" w:cs="AdvPTimes"/>
          <w:color w:val="000000"/>
          <w:vertAlign w:val="subscript"/>
        </w:rPr>
        <w:t>2</w:t>
      </w:r>
      <w:r w:rsidR="00353A53">
        <w:rPr>
          <w:rFonts w:ascii="Times" w:hAnsi="Times" w:cs="AdvPTimes"/>
          <w:color w:val="000000"/>
        </w:rPr>
        <w:t xml:space="preserve"> and resultant increased H</w:t>
      </w:r>
      <w:r w:rsidR="00353A53" w:rsidRPr="00353A53">
        <w:rPr>
          <w:rFonts w:ascii="Times" w:hAnsi="Times" w:cs="AdvPTimes"/>
          <w:color w:val="000000"/>
          <w:vertAlign w:val="superscript"/>
        </w:rPr>
        <w:t>+</w:t>
      </w:r>
      <w:r w:rsidRPr="00E01B09">
        <w:rPr>
          <w:rFonts w:ascii="Times" w:hAnsi="Times" w:cs="AdvPTimes"/>
          <w:color w:val="000000"/>
        </w:rPr>
        <w:t xml:space="preserve"> ion concentration. Projected changes in atmospheric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may have significant consequences for natural populations ranging from physiological changes to broad-scale range shifts (Talmage and Gobler </w:t>
      </w:r>
      <w:r w:rsidRPr="00E01B09">
        <w:rPr>
          <w:rFonts w:ascii="Times" w:hAnsi="Times" w:cs="AdvPTimes"/>
          <w:color w:val="0000FF"/>
        </w:rPr>
        <w:t>2011</w:t>
      </w:r>
      <w:r w:rsidRPr="00E01B09">
        <w:rPr>
          <w:rFonts w:ascii="Times" w:hAnsi="Times" w:cs="AdvPTimes"/>
          <w:color w:val="000000"/>
        </w:rPr>
        <w:t xml:space="preserve">; O’Donnell et al. </w:t>
      </w:r>
      <w:r w:rsidRPr="00E01B09">
        <w:rPr>
          <w:rFonts w:ascii="Times" w:hAnsi="Times" w:cs="AdvPTimes"/>
          <w:color w:val="0000FF"/>
        </w:rPr>
        <w:t>2009</w:t>
      </w:r>
      <w:r w:rsidRPr="00E01B09">
        <w:rPr>
          <w:rFonts w:ascii="Times" w:hAnsi="Times" w:cs="AdvPTimes"/>
          <w:color w:val="000000"/>
        </w:rPr>
        <w:t xml:space="preserve">; Wong et al. </w:t>
      </w:r>
      <w:r w:rsidRPr="00E01B09">
        <w:rPr>
          <w:rFonts w:ascii="Times" w:hAnsi="Times" w:cs="AdvPTimes"/>
          <w:color w:val="0000FF"/>
        </w:rPr>
        <w:t>2011</w:t>
      </w:r>
      <w:r w:rsidRPr="00E01B09">
        <w:rPr>
          <w:rFonts w:ascii="Times" w:hAnsi="Times" w:cs="AdvPTimes"/>
          <w:color w:val="000000"/>
        </w:rPr>
        <w:t xml:space="preserve">; Tomanek et al. </w:t>
      </w:r>
      <w:r w:rsidRPr="00E01B09">
        <w:rPr>
          <w:rFonts w:ascii="Times" w:hAnsi="Times" w:cs="AdvPTimes"/>
          <w:color w:val="0000FF"/>
        </w:rPr>
        <w:t>2011</w:t>
      </w:r>
      <w:r w:rsidRPr="00E01B09">
        <w:rPr>
          <w:rFonts w:ascii="Times" w:hAnsi="Times" w:cs="AdvPTimes"/>
          <w:color w:val="000000"/>
        </w:rPr>
        <w:t xml:space="preserve">; Banks et al. </w:t>
      </w:r>
      <w:r w:rsidRPr="00E01B09">
        <w:rPr>
          <w:rFonts w:ascii="Times" w:hAnsi="Times" w:cs="AdvPTimes"/>
          <w:color w:val="0000FF"/>
        </w:rPr>
        <w:t>2010</w:t>
      </w:r>
      <w:r w:rsidRPr="00E01B09">
        <w:rPr>
          <w:rFonts w:ascii="Times" w:hAnsi="Times" w:cs="AdvPTimes"/>
          <w:color w:val="000000"/>
        </w:rPr>
        <w:t xml:space="preserve">; Perry et al. </w:t>
      </w:r>
      <w:r w:rsidRPr="00E01B09">
        <w:rPr>
          <w:rFonts w:ascii="Times" w:hAnsi="Times" w:cs="AdvPTimes"/>
          <w:color w:val="0000FF"/>
        </w:rPr>
        <w:t>2005</w:t>
      </w:r>
      <w:r w:rsidRPr="00E01B09">
        <w:rPr>
          <w:rFonts w:ascii="Times" w:hAnsi="Times" w:cs="AdvPTimes"/>
          <w:color w:val="000000"/>
        </w:rPr>
        <w:t xml:space="preserve">).  Acidification of nearshore waters can occur via a variety of processes, including equilibration with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 atmosphere, upwelling events, terrestrial run-off, and respiration. The upper ocean acidification in the North Pacific is proportional to the anthropogenic increase in atmospheric CO</w:t>
      </w:r>
      <w:r w:rsidRPr="00353A53">
        <w:rPr>
          <w:rFonts w:ascii="Times" w:hAnsi="Times" w:cs="AdvPTimes"/>
          <w:color w:val="000000"/>
          <w:vertAlign w:val="subscript"/>
        </w:rPr>
        <w:t>2</w:t>
      </w:r>
      <w:r w:rsidRPr="00E01B09">
        <w:rPr>
          <w:rFonts w:ascii="Times" w:hAnsi="Times" w:cs="AdvPTimes"/>
          <w:color w:val="000000"/>
        </w:rPr>
        <w:t xml:space="preserve">, enforcing that the present-day pH changes are outside the range of natural variability (Byrne et al. </w:t>
      </w:r>
      <w:r w:rsidRPr="00E01B09">
        <w:rPr>
          <w:rFonts w:ascii="Times" w:hAnsi="Times" w:cs="AdvPTimes"/>
          <w:color w:val="0000FF"/>
        </w:rPr>
        <w:t>2010a</w:t>
      </w:r>
      <w:r w:rsidRPr="00E01B09">
        <w:rPr>
          <w:rFonts w:ascii="Times" w:hAnsi="Times" w:cs="AdvPTimes"/>
          <w:color w:val="000000"/>
        </w:rPr>
        <w:t xml:space="preserve">, </w:t>
      </w:r>
      <w:r w:rsidRPr="00E01B09">
        <w:rPr>
          <w:rFonts w:ascii="Times" w:hAnsi="Times" w:cs="AdvPTimes"/>
          <w:color w:val="0000FF"/>
        </w:rPr>
        <w:t>b</w:t>
      </w:r>
      <w:r w:rsidRPr="00E01B09">
        <w:rPr>
          <w:rFonts w:ascii="Times" w:hAnsi="Times" w:cs="AdvPTimes"/>
          <w:color w:val="000000"/>
        </w:rPr>
        <w:t>). In addition to atmospheric sources of CO</w:t>
      </w:r>
      <w:r w:rsidRPr="00353A53">
        <w:rPr>
          <w:rFonts w:ascii="Times" w:hAnsi="Times" w:cs="AdvPTimes"/>
          <w:color w:val="000000"/>
          <w:vertAlign w:val="subscript"/>
        </w:rPr>
        <w:t>2</w:t>
      </w:r>
      <w:r w:rsidRPr="00E01B09">
        <w:rPr>
          <w:rFonts w:ascii="Times" w:hAnsi="Times" w:cs="AdvPTimes"/>
          <w:color w:val="000000"/>
        </w:rPr>
        <w:t xml:space="preserve">, oceanic upwelling and nearshore respiration further reduce the pH of water in which larvae develop (as low as pH 7.4 along the west coast of North America) and increasingly result in waters undersaturated with respect to aragonite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During the spring and summer off the US west coast, upwelling of waters rich in CO</w:t>
      </w:r>
      <w:r w:rsidRPr="00353A53">
        <w:rPr>
          <w:rFonts w:ascii="Times" w:hAnsi="Times" w:cs="AdvPTimes"/>
          <w:color w:val="000000"/>
          <w:vertAlign w:val="subscript"/>
        </w:rPr>
        <w:t>2</w:t>
      </w:r>
      <w:r w:rsidRPr="00E01B09">
        <w:rPr>
          <w:rFonts w:ascii="Times" w:hAnsi="Times" w:cs="AdvPTimes"/>
          <w:color w:val="000000"/>
        </w:rPr>
        <w:t xml:space="preserve"> and respiration from nearshore biological activity can cause under saturation of nearshore waters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xml:space="preserve">; Fassbender et al. </w:t>
      </w:r>
      <w:r w:rsidRPr="00E01B09">
        <w:rPr>
          <w:rFonts w:ascii="Times" w:hAnsi="Times" w:cs="AdvPTimes"/>
          <w:color w:val="0000FF"/>
        </w:rPr>
        <w:t>2011</w:t>
      </w:r>
      <w:r w:rsidRPr="00E01B09">
        <w:rPr>
          <w:rFonts w:ascii="Times" w:hAnsi="Times" w:cs="AdvPTimes"/>
          <w:color w:val="000000"/>
        </w:rPr>
        <w:t>). These contemporary processes occur in the same area where planktonic invertebrate larvae congregate. As CO</w:t>
      </w:r>
      <w:r w:rsidRPr="00353A53">
        <w:rPr>
          <w:rFonts w:ascii="Times" w:hAnsi="Times" w:cs="AdvPTimes"/>
          <w:color w:val="000000"/>
          <w:vertAlign w:val="subscript"/>
        </w:rPr>
        <w:t>2</w:t>
      </w:r>
      <w:r w:rsidRPr="00E01B09">
        <w:rPr>
          <w:rFonts w:ascii="Times" w:hAnsi="Times" w:cs="AdvPTimes"/>
          <w:color w:val="000000"/>
        </w:rPr>
        <w:t xml:space="preserve"> emissions continue to equilibrate with ocean surface water, these habitats that already experience low pH could see further and more sustained increases in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t>
      </w:r>
    </w:p>
    <w:p w14:paraId="15088724" w14:textId="13F3C259"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Numerous studies have examined developmental consequences of ocean acidification on marine bivalve larvae. Exposure to low-pH water early in development caused decreased mid-stage growth and survival in </w:t>
      </w:r>
      <w:r w:rsidRPr="00353A53">
        <w:rPr>
          <w:rFonts w:ascii="Times" w:hAnsi="Times" w:cs="AdvPTimes"/>
          <w:i/>
          <w:color w:val="000000"/>
        </w:rPr>
        <w:t>C. gigas</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xml:space="preserve">). </w:t>
      </w:r>
      <w:r w:rsidRPr="00353A53">
        <w:rPr>
          <w:rFonts w:ascii="Times" w:hAnsi="Times" w:cs="AdvPTimes"/>
          <w:i/>
          <w:color w:val="000000"/>
        </w:rPr>
        <w:t xml:space="preserve">C. </w:t>
      </w:r>
      <w:proofErr w:type="gramStart"/>
      <w:r w:rsidRPr="00353A53">
        <w:rPr>
          <w:rFonts w:ascii="Times" w:hAnsi="Times" w:cs="AdvPTimes"/>
          <w:i/>
          <w:color w:val="000000"/>
        </w:rPr>
        <w:t>gigas’s</w:t>
      </w:r>
      <w:proofErr w:type="gramEnd"/>
      <w:r w:rsidRPr="00E01B09">
        <w:rPr>
          <w:rFonts w:ascii="Times" w:hAnsi="Times" w:cs="AdvPTimes"/>
          <w:color w:val="000000"/>
        </w:rPr>
        <w:t xml:space="preserve"> congener, </w:t>
      </w:r>
      <w:r w:rsidRPr="00353A53">
        <w:rPr>
          <w:rFonts w:ascii="Times" w:hAnsi="Times" w:cs="AdvPTimes"/>
          <w:i/>
          <w:color w:val="000000"/>
        </w:rPr>
        <w:t>Crassostrea</w:t>
      </w:r>
      <w:r w:rsidR="00E01B09" w:rsidRPr="00353A53">
        <w:rPr>
          <w:rFonts w:ascii="Times" w:hAnsi="Times" w:cs="AdvPTimes"/>
          <w:i/>
          <w:color w:val="000000"/>
        </w:rPr>
        <w:t xml:space="preserve"> </w:t>
      </w:r>
      <w:r w:rsidRPr="00353A53">
        <w:rPr>
          <w:rFonts w:ascii="Times" w:hAnsi="Times" w:cs="AdvPTimes"/>
          <w:i/>
          <w:color w:val="000000"/>
        </w:rPr>
        <w:t>virginica</w:t>
      </w:r>
      <w:r w:rsidRPr="00E01B09">
        <w:rPr>
          <w:rFonts w:ascii="Times" w:hAnsi="Times" w:cs="AdvPTimes"/>
          <w:color w:val="000000"/>
        </w:rPr>
        <w:t>, grew more slowly and incorporated less CaCO</w:t>
      </w:r>
      <w:r w:rsidRPr="00353A53">
        <w:rPr>
          <w:rFonts w:ascii="Times" w:hAnsi="Times" w:cs="AdvPTimes"/>
          <w:color w:val="000000"/>
          <w:vertAlign w:val="subscript"/>
        </w:rPr>
        <w:t>3</w:t>
      </w:r>
      <w:r w:rsidR="00E01B09" w:rsidRPr="00E01B09">
        <w:rPr>
          <w:rFonts w:ascii="Times" w:hAnsi="Times" w:cs="AdvPTimes"/>
          <w:color w:val="000000"/>
        </w:rPr>
        <w:t xml:space="preserve"> </w:t>
      </w:r>
      <w:r w:rsidRPr="00E01B09">
        <w:rPr>
          <w:rFonts w:ascii="Times" w:hAnsi="Times" w:cs="AdvPTimes"/>
          <w:color w:val="000000"/>
        </w:rPr>
        <w:t xml:space="preserve">into their shells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when compared to controls</w:t>
      </w:r>
      <w:r w:rsidR="00E01B09" w:rsidRPr="00E01B09">
        <w:rPr>
          <w:rFonts w:ascii="Times" w:hAnsi="Times" w:cs="AdvPTimes"/>
          <w:color w:val="000000"/>
        </w:rPr>
        <w:t xml:space="preserve"> </w:t>
      </w:r>
      <w:r w:rsidRPr="00E01B09">
        <w:rPr>
          <w:rFonts w:ascii="Times" w:hAnsi="Times" w:cs="AdvPTimes"/>
          <w:color w:val="000000"/>
        </w:rPr>
        <w:t xml:space="preserve">(Miller et al. </w:t>
      </w:r>
      <w:r w:rsidRPr="00E01B09">
        <w:rPr>
          <w:rFonts w:ascii="Times" w:hAnsi="Times" w:cs="AdvPTimes"/>
          <w:color w:val="0000FF"/>
        </w:rPr>
        <w:t>2009</w:t>
      </w:r>
      <w:r w:rsidRPr="00E01B09">
        <w:rPr>
          <w:rFonts w:ascii="Times" w:hAnsi="Times" w:cs="AdvPTimes"/>
          <w:color w:val="000000"/>
        </w:rPr>
        <w:t>). Similarly, ocean acidification</w:t>
      </w:r>
      <w:r w:rsidR="00E01B09" w:rsidRPr="00E01B09">
        <w:rPr>
          <w:rFonts w:ascii="Times" w:hAnsi="Times" w:cs="AdvPTimes"/>
          <w:color w:val="000000"/>
        </w:rPr>
        <w:t xml:space="preserve"> </w:t>
      </w:r>
      <w:r w:rsidRPr="00E01B09">
        <w:rPr>
          <w:rFonts w:ascii="Times" w:hAnsi="Times" w:cs="AdvPTimes"/>
          <w:color w:val="000000"/>
        </w:rPr>
        <w:t>conditions decreased both shell integrity and tissue mass in</w:t>
      </w:r>
      <w:r w:rsidR="00E01B09" w:rsidRPr="00E01B09">
        <w:rPr>
          <w:rFonts w:ascii="Times" w:hAnsi="Times" w:cs="AdvPTimes"/>
          <w:color w:val="000000"/>
        </w:rPr>
        <w:t xml:space="preserve"> </w:t>
      </w:r>
      <w:r w:rsidRPr="00E01B09">
        <w:rPr>
          <w:rFonts w:ascii="Times" w:hAnsi="Times" w:cs="AdvPTimes"/>
          <w:color w:val="000000"/>
        </w:rPr>
        <w:t xml:space="preserve">larval mussels, </w:t>
      </w:r>
      <w:r w:rsidRPr="00353A53">
        <w:rPr>
          <w:rFonts w:ascii="Times" w:hAnsi="Times" w:cs="AdvPTimes"/>
          <w:i/>
          <w:color w:val="000000"/>
        </w:rPr>
        <w:t>Mytilus californianus</w:t>
      </w:r>
      <w:r w:rsidRPr="00E01B09">
        <w:rPr>
          <w:rFonts w:ascii="Times" w:hAnsi="Times" w:cs="AdvPTimes"/>
          <w:color w:val="000000"/>
        </w:rPr>
        <w:t xml:space="preserve"> (Gaylord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Larval Sydney rock oysters (</w:t>
      </w:r>
      <w:r w:rsidRPr="00353A53">
        <w:rPr>
          <w:rFonts w:ascii="Times" w:hAnsi="Times" w:cs="AdvPTimes"/>
          <w:i/>
          <w:color w:val="000000"/>
        </w:rPr>
        <w:t>Saccostrea glomerata</w:t>
      </w:r>
      <w:r w:rsidRPr="00E01B09">
        <w:rPr>
          <w:rFonts w:ascii="Times" w:hAnsi="Times" w:cs="AdvPTimes"/>
          <w:color w:val="000000"/>
        </w:rPr>
        <w:t>) demonstrated</w:t>
      </w:r>
      <w:r w:rsidR="00E01B09" w:rsidRPr="00E01B09">
        <w:rPr>
          <w:rFonts w:ascii="Times" w:hAnsi="Times" w:cs="AdvPTimes"/>
          <w:color w:val="000000"/>
        </w:rPr>
        <w:t xml:space="preserve"> </w:t>
      </w:r>
      <w:r w:rsidRPr="00E01B09">
        <w:rPr>
          <w:rFonts w:ascii="Times" w:hAnsi="Times" w:cs="AdvPTimes"/>
          <w:color w:val="000000"/>
        </w:rPr>
        <w:t>reduced survival and slower growth and development</w:t>
      </w:r>
      <w:r w:rsidR="00E01B09" w:rsidRPr="00E01B09">
        <w:rPr>
          <w:rFonts w:ascii="Times" w:hAnsi="Times" w:cs="AdvPTimes"/>
          <w:color w:val="000000"/>
        </w:rPr>
        <w:t xml:space="preserve"> </w:t>
      </w:r>
      <w:r w:rsidRPr="00E01B09">
        <w:rPr>
          <w:rFonts w:ascii="Times" w:hAnsi="Times" w:cs="AdvPTimes"/>
          <w:color w:val="000000"/>
        </w:rPr>
        <w:t>when reared under conditions simulating future</w:t>
      </w:r>
      <w:r w:rsidR="00E01B09" w:rsidRPr="00E01B09">
        <w:rPr>
          <w:rFonts w:ascii="Times" w:hAnsi="Times" w:cs="AdvPTimes"/>
          <w:color w:val="000000"/>
        </w:rPr>
        <w:t xml:space="preserve"> </w:t>
      </w:r>
      <w:r w:rsidRPr="00E01B09">
        <w:rPr>
          <w:rFonts w:ascii="Times" w:hAnsi="Times" w:cs="AdvPTimes"/>
          <w:color w:val="000000"/>
        </w:rPr>
        <w:t xml:space="preserve">oceanic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(Watson et al. </w:t>
      </w:r>
      <w:r w:rsidRPr="00E01B09">
        <w:rPr>
          <w:rFonts w:ascii="Times" w:hAnsi="Times" w:cs="AdvPTimes"/>
          <w:color w:val="0000FF"/>
        </w:rPr>
        <w:t>2009</w:t>
      </w:r>
      <w:r w:rsidRPr="00E01B09">
        <w:rPr>
          <w:rFonts w:ascii="Times" w:hAnsi="Times" w:cs="AdvPTimes"/>
          <w:color w:val="000000"/>
        </w:rPr>
        <w:t>). Both clam (</w:t>
      </w:r>
      <w:r w:rsidRPr="00353A53">
        <w:rPr>
          <w:rFonts w:ascii="Times" w:hAnsi="Times" w:cs="AdvPTimes"/>
          <w:i/>
          <w:color w:val="000000"/>
        </w:rPr>
        <w:t>Mercenaria</w:t>
      </w:r>
      <w:r w:rsidR="00E01B09" w:rsidRPr="00353A53">
        <w:rPr>
          <w:rFonts w:ascii="Times" w:hAnsi="Times" w:cs="AdvPTimes"/>
          <w:i/>
          <w:color w:val="000000"/>
        </w:rPr>
        <w:t xml:space="preserve"> </w:t>
      </w:r>
      <w:r w:rsidRPr="00353A53">
        <w:rPr>
          <w:rFonts w:ascii="Times" w:hAnsi="Times" w:cs="AdvPTimes"/>
          <w:i/>
          <w:color w:val="000000"/>
        </w:rPr>
        <w:t>mercenaria</w:t>
      </w:r>
      <w:r w:rsidRPr="00E01B09">
        <w:rPr>
          <w:rFonts w:ascii="Times" w:hAnsi="Times" w:cs="AdvPTimes"/>
          <w:color w:val="000000"/>
        </w:rPr>
        <w:t>) and scallop larvae (</w:t>
      </w:r>
      <w:r w:rsidRPr="00353A53">
        <w:rPr>
          <w:rFonts w:ascii="Times" w:hAnsi="Times" w:cs="AdvPTimes"/>
          <w:i/>
          <w:color w:val="000000"/>
        </w:rPr>
        <w:t>Argopectens irrandians</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were impacted by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their metamorphosis,</w:t>
      </w:r>
      <w:r w:rsidR="00E01B09" w:rsidRPr="00E01B09">
        <w:rPr>
          <w:rFonts w:ascii="Times" w:hAnsi="Times" w:cs="AdvPTimes"/>
          <w:color w:val="000000"/>
        </w:rPr>
        <w:t xml:space="preserve"> </w:t>
      </w:r>
      <w:r w:rsidRPr="00E01B09">
        <w:rPr>
          <w:rFonts w:ascii="Times" w:hAnsi="Times" w:cs="AdvPTimes"/>
          <w:color w:val="000000"/>
        </w:rPr>
        <w:t xml:space="preserve">growth, and lipid synthesis (Talmage and Gobler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The effects of ocean acidification have been studied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Japan (Kurihara et al. </w:t>
      </w:r>
      <w:r w:rsidRPr="00E01B09">
        <w:rPr>
          <w:rFonts w:ascii="Times" w:hAnsi="Times" w:cs="AdvPTimes"/>
          <w:color w:val="0000FF"/>
        </w:rPr>
        <w:t>2007</w:t>
      </w:r>
      <w:r w:rsidRPr="00E01B09">
        <w:rPr>
          <w:rFonts w:ascii="Times" w:hAnsi="Times" w:cs="AdvPTimes"/>
          <w:color w:val="000000"/>
        </w:rPr>
        <w:t>),</w:t>
      </w:r>
      <w:r w:rsidR="00353A53">
        <w:rPr>
          <w:rFonts w:ascii="Times" w:hAnsi="Times" w:cs="AdvPTimes"/>
          <w:color w:val="000000"/>
        </w:rPr>
        <w:t xml:space="preserve"> </w:t>
      </w:r>
      <w:r w:rsidRPr="00E01B09">
        <w:rPr>
          <w:rFonts w:ascii="Times" w:hAnsi="Times" w:cs="AdvPTimes"/>
          <w:color w:val="000000"/>
        </w:rPr>
        <w:t xml:space="preserve">Australia (Parker et al. </w:t>
      </w:r>
      <w:r w:rsidRPr="00E01B09">
        <w:rPr>
          <w:rFonts w:ascii="Times" w:hAnsi="Times" w:cs="AdvPTimes"/>
          <w:color w:val="0000FF"/>
        </w:rPr>
        <w:t>2010</w:t>
      </w:r>
      <w:r w:rsidRPr="00E01B09">
        <w:rPr>
          <w:rFonts w:ascii="Times" w:hAnsi="Times" w:cs="AdvPTimes"/>
          <w:color w:val="000000"/>
        </w:rPr>
        <w:t xml:space="preserve">, </w:t>
      </w:r>
      <w:r w:rsidRPr="00E01B09">
        <w:rPr>
          <w:rFonts w:ascii="Times" w:hAnsi="Times" w:cs="AdvPTimes"/>
          <w:color w:val="0000FF"/>
        </w:rPr>
        <w:t>2012</w:t>
      </w:r>
      <w:r w:rsidR="00E01B09" w:rsidRPr="00E01B09">
        <w:rPr>
          <w:rFonts w:ascii="Times" w:hAnsi="Times" w:cs="AdvPTimes"/>
          <w:color w:val="000000"/>
        </w:rPr>
        <w:t xml:space="preserve">), and Europe (Gazeau </w:t>
      </w:r>
      <w:r w:rsidRPr="00E01B09">
        <w:rPr>
          <w:rFonts w:ascii="Times" w:hAnsi="Times" w:cs="AdvPTimes"/>
          <w:color w:val="000000"/>
        </w:rPr>
        <w:t xml:space="preserve">et al. </w:t>
      </w:r>
      <w:r w:rsidRPr="00E01B09">
        <w:rPr>
          <w:rFonts w:ascii="Times" w:hAnsi="Times" w:cs="AdvPTimes"/>
          <w:color w:val="0000FF"/>
        </w:rPr>
        <w:t>2011</w:t>
      </w:r>
      <w:r w:rsidRPr="00E01B09">
        <w:rPr>
          <w:rFonts w:ascii="Times" w:hAnsi="Times" w:cs="AdvPTimes"/>
          <w:color w:val="000000"/>
        </w:rPr>
        <w:t>), but few studies to date look at these effects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the United States. Due to</w:t>
      </w:r>
      <w:r w:rsidR="00E01B09" w:rsidRPr="00E01B09">
        <w:rPr>
          <w:rFonts w:ascii="Times" w:hAnsi="Times" w:cs="AdvPTimes"/>
          <w:color w:val="000000"/>
        </w:rPr>
        <w:t xml:space="preserve"> </w:t>
      </w:r>
      <w:r w:rsidRPr="00E01B09">
        <w:rPr>
          <w:rFonts w:ascii="Times" w:hAnsi="Times" w:cs="AdvPTimes"/>
          <w:color w:val="000000"/>
        </w:rPr>
        <w:t>differences in experimental design, it is difficult to directly</w:t>
      </w:r>
      <w:r w:rsidR="00E01B09" w:rsidRPr="00E01B09">
        <w:rPr>
          <w:rFonts w:ascii="Times" w:hAnsi="Times" w:cs="AdvPTimes"/>
          <w:color w:val="000000"/>
        </w:rPr>
        <w:t xml:space="preserve"> </w:t>
      </w:r>
      <w:r w:rsidRPr="00E01B09">
        <w:rPr>
          <w:rFonts w:ascii="Times" w:hAnsi="Times" w:cs="AdvPTimes"/>
          <w:color w:val="000000"/>
        </w:rPr>
        <w:t>compare the three aforementioned studies, but overall</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larvae are smaller when raised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00E01B09" w:rsidRPr="00E01B09">
        <w:rPr>
          <w:rFonts w:ascii="Times" w:hAnsi="Times" w:cs="AdvPTimes"/>
          <w:color w:val="000000"/>
        </w:rPr>
        <w:t xml:space="preserve"> </w:t>
      </w:r>
      <w:r w:rsidRPr="00E01B09">
        <w:rPr>
          <w:rFonts w:ascii="Times" w:hAnsi="Times" w:cs="AdvPTimes"/>
          <w:color w:val="000000"/>
        </w:rPr>
        <w:t xml:space="preserve">(Kurihara et al.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demonstrate a developmental delay (Kurihara et al. </w:t>
      </w:r>
      <w:r w:rsidRPr="00E01B09">
        <w:rPr>
          <w:rFonts w:ascii="Times" w:hAnsi="Times" w:cs="AdvPTimes"/>
          <w:color w:val="0000FF"/>
        </w:rPr>
        <w:t>2007</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and have morphological and shell deformities (Kurihara et al.</w:t>
      </w:r>
      <w:r w:rsidR="00E01B09" w:rsidRPr="00E01B09">
        <w:rPr>
          <w:rFonts w:ascii="Times" w:hAnsi="Times" w:cs="AdvPTimes"/>
          <w:color w:val="000000"/>
        </w:rPr>
        <w:t xml:space="preserve">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p>
    <w:p w14:paraId="03352C1A" w14:textId="77777777"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Pacific oyster larvae are planktotrophs, spending an</w:t>
      </w:r>
      <w:r w:rsidR="00E01B09" w:rsidRPr="00E01B09">
        <w:rPr>
          <w:rFonts w:ascii="Times" w:hAnsi="Times" w:cs="AdvPTimes"/>
          <w:color w:val="000000"/>
        </w:rPr>
        <w:t xml:space="preserve"> </w:t>
      </w:r>
      <w:r w:rsidRPr="00E01B09">
        <w:rPr>
          <w:rFonts w:ascii="Times" w:hAnsi="Times" w:cs="AdvPTimes"/>
          <w:color w:val="000000"/>
        </w:rPr>
        <w:t>extended period of one to three weeks in the plankton, where</w:t>
      </w:r>
      <w:r w:rsidR="00E01B09" w:rsidRPr="00E01B09">
        <w:rPr>
          <w:rFonts w:ascii="Times" w:hAnsi="Times" w:cs="AdvPTimes"/>
          <w:color w:val="000000"/>
        </w:rPr>
        <w:t xml:space="preserve"> </w:t>
      </w:r>
      <w:r w:rsidRPr="00E01B09">
        <w:rPr>
          <w:rFonts w:ascii="Times" w:hAnsi="Times" w:cs="AdvPTimes"/>
          <w:color w:val="000000"/>
        </w:rPr>
        <w:t>they undergo a variety of important morphological and</w:t>
      </w:r>
      <w:r w:rsidR="00E01B09" w:rsidRPr="00E01B09">
        <w:rPr>
          <w:rFonts w:ascii="Times" w:hAnsi="Times" w:cs="AdvPTimes"/>
          <w:color w:val="000000"/>
        </w:rPr>
        <w:t xml:space="preserve"> </w:t>
      </w:r>
      <w:r w:rsidRPr="00E01B09">
        <w:rPr>
          <w:rFonts w:ascii="Times" w:hAnsi="Times" w:cs="AdvPTimes"/>
          <w:color w:val="000000"/>
        </w:rPr>
        <w:t xml:space="preserve">physiological changes (Strathmann </w:t>
      </w:r>
      <w:r w:rsidRPr="00E01B09">
        <w:rPr>
          <w:rFonts w:ascii="Times" w:hAnsi="Times" w:cs="AdvPTimes"/>
          <w:color w:val="0000FF"/>
        </w:rPr>
        <w:t>1985</w:t>
      </w:r>
      <w:r w:rsidRPr="00E01B09">
        <w:rPr>
          <w:rFonts w:ascii="Times" w:hAnsi="Times" w:cs="AdvPTimes"/>
          <w:color w:val="000000"/>
        </w:rPr>
        <w:t>). These developmental</w:t>
      </w:r>
      <w:r w:rsidR="00E01B09" w:rsidRPr="00E01B09">
        <w:rPr>
          <w:rFonts w:ascii="Times" w:hAnsi="Times" w:cs="AdvPTimes"/>
          <w:color w:val="000000"/>
        </w:rPr>
        <w:t xml:space="preserve"> </w:t>
      </w:r>
      <w:r w:rsidRPr="00E01B09">
        <w:rPr>
          <w:rFonts w:ascii="Times" w:hAnsi="Times" w:cs="AdvPTimes"/>
          <w:color w:val="000000"/>
        </w:rPr>
        <w:t>changes are frequently associated with environmental</w:t>
      </w:r>
      <w:r w:rsidR="00E01B09" w:rsidRPr="00E01B09">
        <w:rPr>
          <w:rFonts w:ascii="Times" w:hAnsi="Times" w:cs="AdvPTimes"/>
          <w:color w:val="000000"/>
        </w:rPr>
        <w:t xml:space="preserve"> </w:t>
      </w:r>
      <w:r w:rsidRPr="00E01B09">
        <w:rPr>
          <w:rFonts w:ascii="Times" w:hAnsi="Times" w:cs="AdvPTimes"/>
          <w:color w:val="000000"/>
        </w:rPr>
        <w:t xml:space="preserve">cues (Bonar et al. </w:t>
      </w:r>
      <w:r w:rsidRPr="00E01B09">
        <w:rPr>
          <w:rFonts w:ascii="Times" w:hAnsi="Times" w:cs="AdvPTimes"/>
          <w:color w:val="0000FF"/>
        </w:rPr>
        <w:t>1990</w:t>
      </w:r>
      <w:r w:rsidRPr="00E01B09">
        <w:rPr>
          <w:rFonts w:ascii="Times" w:hAnsi="Times" w:cs="AdvPTimes"/>
          <w:color w:val="000000"/>
        </w:rPr>
        <w:t>), and their successful</w:t>
      </w:r>
      <w:r w:rsidR="00E01B09" w:rsidRPr="00E01B09">
        <w:rPr>
          <w:rFonts w:ascii="Times" w:hAnsi="Times" w:cs="AdvPTimes"/>
          <w:color w:val="000000"/>
        </w:rPr>
        <w:t xml:space="preserve"> </w:t>
      </w:r>
      <w:r w:rsidRPr="00E01B09">
        <w:rPr>
          <w:rFonts w:ascii="Times" w:hAnsi="Times" w:cs="AdvPTimes"/>
          <w:color w:val="000000"/>
        </w:rPr>
        <w:t>completion is necessary for larval metamorphosis into a</w:t>
      </w:r>
      <w:r w:rsidR="00E01B09" w:rsidRPr="00E01B09">
        <w:rPr>
          <w:rFonts w:ascii="Times" w:hAnsi="Times" w:cs="AdvPTimes"/>
          <w:color w:val="000000"/>
        </w:rPr>
        <w:t xml:space="preserve"> </w:t>
      </w:r>
      <w:r w:rsidRPr="00E01B09">
        <w:rPr>
          <w:rFonts w:ascii="Times" w:hAnsi="Times" w:cs="AdvPTimes"/>
          <w:color w:val="000000"/>
        </w:rPr>
        <w:t>settled juvenile oyster. Organismal responses to ocean</w:t>
      </w:r>
      <w:r w:rsidR="00E01B09" w:rsidRPr="00E01B09">
        <w:rPr>
          <w:rFonts w:ascii="Times" w:hAnsi="Times" w:cs="AdvPTimes"/>
          <w:color w:val="000000"/>
        </w:rPr>
        <w:t xml:space="preserve"> </w:t>
      </w:r>
      <w:r w:rsidRPr="00E01B09">
        <w:rPr>
          <w:rFonts w:ascii="Times" w:hAnsi="Times" w:cs="AdvPTimes"/>
          <w:color w:val="000000"/>
        </w:rPr>
        <w:t>acidification vary among and within taxa suggesting that</w:t>
      </w:r>
      <w:r w:rsidR="00E01B09" w:rsidRPr="00E01B09">
        <w:rPr>
          <w:rFonts w:ascii="Times" w:hAnsi="Times" w:cs="AdvPTimes"/>
          <w:color w:val="000000"/>
        </w:rPr>
        <w:t xml:space="preserve"> </w:t>
      </w:r>
      <w:r w:rsidRPr="00E01B09">
        <w:rPr>
          <w:rFonts w:ascii="Times" w:hAnsi="Times" w:cs="AdvPTimes"/>
          <w:color w:val="000000"/>
        </w:rPr>
        <w:t>ecological and evolutionary history may influence responses</w:t>
      </w:r>
      <w:r w:rsidR="00E01B09" w:rsidRPr="00E01B09">
        <w:rPr>
          <w:rFonts w:ascii="Times" w:hAnsi="Times" w:cs="AdvPTimes"/>
          <w:color w:val="000000"/>
        </w:rPr>
        <w:t xml:space="preserve"> </w:t>
      </w:r>
      <w:r w:rsidRPr="00E01B09">
        <w:rPr>
          <w:rFonts w:ascii="Times" w:hAnsi="Times" w:cs="AdvPTimes"/>
          <w:color w:val="000000"/>
        </w:rPr>
        <w:t>to ocean acidification. Thus, empirical studies are needed to</w:t>
      </w:r>
      <w:r w:rsidR="00E01B09" w:rsidRPr="00E01B09">
        <w:rPr>
          <w:rFonts w:ascii="Times" w:hAnsi="Times" w:cs="AdvPTimes"/>
          <w:color w:val="000000"/>
        </w:rPr>
        <w:t xml:space="preserve"> </w:t>
      </w:r>
      <w:r w:rsidRPr="00E01B09">
        <w:rPr>
          <w:rFonts w:ascii="Times" w:hAnsi="Times" w:cs="AdvPTimes"/>
          <w:color w:val="000000"/>
        </w:rPr>
        <w:t>understand the mechanistic responses of species to a specific</w:t>
      </w:r>
      <w:r w:rsidR="00E01B09" w:rsidRPr="00E01B09">
        <w:rPr>
          <w:rFonts w:ascii="Times" w:hAnsi="Times" w:cs="AdvPTimes"/>
          <w:color w:val="000000"/>
        </w:rPr>
        <w:t xml:space="preserve"> </w:t>
      </w:r>
      <w:r w:rsidRPr="00E01B09">
        <w:rPr>
          <w:rFonts w:ascii="Times" w:hAnsi="Times" w:cs="AdvPTimes"/>
          <w:color w:val="000000"/>
        </w:rPr>
        <w:t>environmental stress and how the stress corresponds to the</w:t>
      </w:r>
      <w:r w:rsidR="00E01B09" w:rsidRPr="00E01B09">
        <w:rPr>
          <w:rFonts w:ascii="Times" w:hAnsi="Times" w:cs="AdvPTimes"/>
          <w:color w:val="000000"/>
        </w:rPr>
        <w:t xml:space="preserve"> </w:t>
      </w:r>
      <w:r w:rsidRPr="00E01B09">
        <w:rPr>
          <w:rFonts w:ascii="Times" w:hAnsi="Times" w:cs="AdvPTimes"/>
          <w:color w:val="000000"/>
        </w:rPr>
        <w:t xml:space="preserve">species’ or </w:t>
      </w:r>
      <w:proofErr w:type="gramStart"/>
      <w:r w:rsidRPr="00E01B09">
        <w:rPr>
          <w:rFonts w:ascii="Times" w:hAnsi="Times" w:cs="AdvPTimes"/>
          <w:color w:val="000000"/>
        </w:rPr>
        <w:t>population’s</w:t>
      </w:r>
      <w:proofErr w:type="gramEnd"/>
      <w:r w:rsidRPr="00E01B09">
        <w:rPr>
          <w:rFonts w:ascii="Times" w:hAnsi="Times" w:cs="AdvPTimes"/>
          <w:color w:val="000000"/>
        </w:rPr>
        <w:t xml:space="preserve"> original ecological niche.</w:t>
      </w:r>
      <w:r w:rsidR="00E01B09" w:rsidRPr="00E01B09">
        <w:rPr>
          <w:rFonts w:ascii="Times" w:hAnsi="Times" w:cs="AdvPTimes"/>
          <w:color w:val="000000"/>
        </w:rPr>
        <w:t xml:space="preserve">  </w:t>
      </w:r>
    </w:p>
    <w:p w14:paraId="29E98184" w14:textId="4DF338EE"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One of the primary means by which marine organisms are</w:t>
      </w:r>
      <w:r w:rsidR="00E01B09" w:rsidRPr="00E01B09">
        <w:rPr>
          <w:rFonts w:ascii="Times" w:hAnsi="Times" w:cs="AdvPTimes"/>
          <w:color w:val="000000"/>
        </w:rPr>
        <w:t xml:space="preserve"> </w:t>
      </w:r>
      <w:r w:rsidRPr="00E01B09">
        <w:rPr>
          <w:rFonts w:ascii="Times" w:hAnsi="Times" w:cs="AdvPTimes"/>
          <w:color w:val="000000"/>
        </w:rPr>
        <w:t>directly influenced by ocean acidification is through relative</w:t>
      </w:r>
      <w:r w:rsidR="00E01B09" w:rsidRPr="00E01B09">
        <w:rPr>
          <w:rFonts w:ascii="Times" w:hAnsi="Times" w:cs="AdvPTimes"/>
          <w:color w:val="000000"/>
        </w:rPr>
        <w:t xml:space="preserve"> </w:t>
      </w:r>
      <w:r w:rsidR="00353A53">
        <w:rPr>
          <w:rFonts w:ascii="Times" w:hAnsi="Times" w:cs="AdvPTimes"/>
          <w:color w:val="000000"/>
        </w:rPr>
        <w:t>concentrations of H</w:t>
      </w:r>
      <w:r w:rsidR="00353A53" w:rsidRPr="00353A53">
        <w:rPr>
          <w:rFonts w:ascii="Times" w:hAnsi="Times" w:cs="AdvPTimes"/>
          <w:color w:val="000000"/>
          <w:vertAlign w:val="superscript"/>
        </w:rPr>
        <w:t>+</w:t>
      </w:r>
      <w:r w:rsidRPr="00E01B09">
        <w:rPr>
          <w:rFonts w:ascii="Times" w:hAnsi="Times" w:cs="AdvPTimes"/>
          <w:color w:val="000000"/>
        </w:rPr>
        <w:t xml:space="preserve"> and associated decreased availability</w:t>
      </w:r>
      <w:r w:rsidR="00E01B09" w:rsidRPr="00E01B09">
        <w:rPr>
          <w:rFonts w:ascii="Times" w:hAnsi="Times" w:cs="AdvPTimes"/>
          <w:color w:val="000000"/>
        </w:rPr>
        <w:t xml:space="preserve"> </w:t>
      </w:r>
      <w:r w:rsidRPr="00E01B09">
        <w:rPr>
          <w:rFonts w:ascii="Times" w:hAnsi="Times" w:cs="AdvPTimes"/>
          <w:color w:val="000000"/>
        </w:rPr>
        <w:t>of CO</w:t>
      </w:r>
      <w:r w:rsidRPr="00353A53">
        <w:rPr>
          <w:rFonts w:ascii="Times" w:hAnsi="Times" w:cs="AdvPTimes"/>
          <w:color w:val="000000"/>
          <w:vertAlign w:val="subscript"/>
        </w:rPr>
        <w:t>3</w:t>
      </w:r>
      <w:r w:rsidRPr="00E01B09">
        <w:rPr>
          <w:rFonts w:ascii="Times" w:hAnsi="Times" w:cs="AdvPTimes"/>
          <w:color w:val="000000"/>
        </w:rPr>
        <w:t xml:space="preserve"> </w:t>
      </w:r>
      <w:r w:rsidRPr="00353A53">
        <w:rPr>
          <w:rFonts w:ascii="Times" w:hAnsi="Times" w:cs="AdvPTimes"/>
          <w:color w:val="000000"/>
          <w:vertAlign w:val="superscript"/>
        </w:rPr>
        <w:t>2-</w:t>
      </w:r>
      <w:r w:rsidRPr="00E01B09">
        <w:rPr>
          <w:rFonts w:ascii="Times" w:hAnsi="Times" w:cs="AdvPTimes"/>
          <w:color w:val="000000"/>
        </w:rPr>
        <w:t>. These changes in water chemistry impact calcifying</w:t>
      </w:r>
      <w:r w:rsidR="00E01B09" w:rsidRPr="00E01B09">
        <w:rPr>
          <w:rFonts w:ascii="Times" w:hAnsi="Times" w:cs="AdvPTimes"/>
          <w:color w:val="000000"/>
        </w:rPr>
        <w:t xml:space="preserve"> </w:t>
      </w:r>
      <w:r w:rsidRPr="00E01B09">
        <w:rPr>
          <w:rFonts w:ascii="Times" w:hAnsi="Times" w:cs="AdvPTimes"/>
          <w:color w:val="000000"/>
        </w:rPr>
        <w:t>organisms as they rely on CO</w:t>
      </w:r>
      <w:r w:rsidR="00E01B09" w:rsidRPr="00353A53">
        <w:rPr>
          <w:rFonts w:ascii="Times" w:hAnsi="Times" w:cs="AdvPTimes"/>
          <w:color w:val="000000"/>
          <w:vertAlign w:val="subscript"/>
        </w:rPr>
        <w:t>3</w:t>
      </w:r>
      <w:r w:rsidRPr="00353A53">
        <w:rPr>
          <w:rFonts w:ascii="Times" w:hAnsi="Times" w:cs="AdvPTimes"/>
          <w:color w:val="000000"/>
          <w:vertAlign w:val="superscript"/>
        </w:rPr>
        <w:t>2-</w:t>
      </w:r>
      <w:r w:rsidRPr="00E01B09">
        <w:rPr>
          <w:rFonts w:ascii="Times" w:hAnsi="Times" w:cs="AdvPTimes"/>
          <w:color w:val="000000"/>
        </w:rPr>
        <w:t xml:space="preserve"> to form and maintain</w:t>
      </w:r>
      <w:r w:rsidR="00E01B09" w:rsidRPr="00E01B09">
        <w:rPr>
          <w:rFonts w:ascii="Times" w:hAnsi="Times" w:cs="AdvPTimes"/>
          <w:color w:val="000000"/>
        </w:rPr>
        <w:t xml:space="preserve"> </w:t>
      </w:r>
      <w:r w:rsidRPr="00E01B09">
        <w:rPr>
          <w:rFonts w:ascii="Times" w:hAnsi="Times" w:cs="AdvPTimes"/>
          <w:color w:val="000000"/>
        </w:rPr>
        <w:t xml:space="preserve">carbonate-based structures (Beniash et al. </w:t>
      </w:r>
      <w:r w:rsidRPr="00E01B09">
        <w:rPr>
          <w:rFonts w:ascii="Times" w:hAnsi="Times" w:cs="AdvPTimes"/>
          <w:color w:val="0000FF"/>
        </w:rPr>
        <w:t>2010</w:t>
      </w:r>
      <w:r w:rsidRPr="00E01B09">
        <w:rPr>
          <w:rFonts w:ascii="Times" w:hAnsi="Times" w:cs="AdvPTimes"/>
          <w:color w:val="000000"/>
        </w:rPr>
        <w:t>; Thomsen</w:t>
      </w:r>
      <w:r w:rsidR="00E01B09" w:rsidRPr="00E01B09">
        <w:rPr>
          <w:rFonts w:ascii="Times" w:hAnsi="Times" w:cs="AdvPTimes"/>
          <w:color w:val="000000"/>
        </w:rPr>
        <w:t xml:space="preserve"> </w:t>
      </w:r>
      <w:r w:rsidRPr="00E01B09">
        <w:rPr>
          <w:rFonts w:ascii="Times" w:hAnsi="Times" w:cs="AdvPTimes"/>
          <w:color w:val="000000"/>
        </w:rPr>
        <w:t xml:space="preserve">and Melzner </w:t>
      </w:r>
      <w:r w:rsidRPr="00E01B09">
        <w:rPr>
          <w:rFonts w:ascii="Times" w:hAnsi="Times" w:cs="AdvPTimes"/>
          <w:color w:val="0000FF"/>
        </w:rPr>
        <w:t>2010</w:t>
      </w:r>
      <w:r w:rsidR="00353A53">
        <w:rPr>
          <w:rFonts w:ascii="Times" w:hAnsi="Times" w:cs="AdvPTimes"/>
          <w:color w:val="000000"/>
        </w:rPr>
        <w:t>), while greater H</w:t>
      </w:r>
      <w:r w:rsidR="00353A53" w:rsidRPr="00353A53">
        <w:rPr>
          <w:rFonts w:ascii="Times" w:hAnsi="Times" w:cs="AdvPTimes"/>
          <w:color w:val="000000"/>
          <w:vertAlign w:val="superscript"/>
        </w:rPr>
        <w:t>+</w:t>
      </w:r>
      <w:r w:rsidRPr="00E01B09">
        <w:rPr>
          <w:rFonts w:ascii="Times" w:hAnsi="Times" w:cs="AdvPTimes"/>
          <w:color w:val="000000"/>
        </w:rPr>
        <w:t xml:space="preserve"> concentration can</w:t>
      </w:r>
      <w:r w:rsidR="00E01B09" w:rsidRPr="00E01B09">
        <w:rPr>
          <w:rFonts w:ascii="Times" w:hAnsi="Times" w:cs="AdvPTimes"/>
          <w:color w:val="000000"/>
        </w:rPr>
        <w:t xml:space="preserve"> </w:t>
      </w:r>
      <w:r w:rsidRPr="00E01B09">
        <w:rPr>
          <w:rFonts w:ascii="Times" w:hAnsi="Times" w:cs="AdvPTimes"/>
          <w:color w:val="000000"/>
        </w:rPr>
        <w:t>cause acidosis of body fluids. Acidosis can result in dissolution</w:t>
      </w:r>
      <w:r w:rsidR="00E01B09" w:rsidRPr="00E01B09">
        <w:rPr>
          <w:rFonts w:ascii="Times" w:hAnsi="Times" w:cs="AdvPTimes"/>
          <w:color w:val="000000"/>
        </w:rPr>
        <w:t xml:space="preserve"> </w:t>
      </w:r>
      <w:r w:rsidRPr="00E01B09">
        <w:rPr>
          <w:rFonts w:ascii="Times" w:hAnsi="Times" w:cs="AdvPTimes"/>
          <w:color w:val="000000"/>
        </w:rPr>
        <w:t>of calcium carbonate structures, reducing shell</w:t>
      </w:r>
      <w:r w:rsidR="00E01B09" w:rsidRPr="00E01B09">
        <w:rPr>
          <w:rFonts w:ascii="Times" w:hAnsi="Times" w:cs="AdvPTimes"/>
          <w:color w:val="000000"/>
        </w:rPr>
        <w:t xml:space="preserve"> </w:t>
      </w:r>
      <w:r w:rsidRPr="00E01B09">
        <w:rPr>
          <w:rFonts w:ascii="Times" w:hAnsi="Times" w:cs="AdvPTimes"/>
          <w:color w:val="000000"/>
        </w:rPr>
        <w:t>thickness and releasing ions into the hemolymph. Many</w:t>
      </w:r>
      <w:r w:rsidR="00E01B09" w:rsidRPr="00E01B09">
        <w:rPr>
          <w:rFonts w:ascii="Times" w:hAnsi="Times" w:cs="AdvPTimes"/>
          <w:color w:val="000000"/>
        </w:rPr>
        <w:t xml:space="preserve"> </w:t>
      </w:r>
      <w:r w:rsidRPr="00E01B09">
        <w:rPr>
          <w:rFonts w:ascii="Times" w:hAnsi="Times" w:cs="AdvPTimes"/>
          <w:color w:val="000000"/>
        </w:rPr>
        <w:t>adult aquatic invertebrates can make use of dissolved calcified</w:t>
      </w:r>
      <w:r w:rsidR="00E01B09" w:rsidRPr="00E01B09">
        <w:rPr>
          <w:rFonts w:ascii="Times" w:hAnsi="Times" w:cs="AdvPTimes"/>
          <w:color w:val="000000"/>
        </w:rPr>
        <w:t xml:space="preserve"> </w:t>
      </w:r>
      <w:r w:rsidRPr="00E01B09">
        <w:rPr>
          <w:rFonts w:ascii="Times" w:hAnsi="Times" w:cs="AdvPTimes"/>
          <w:color w:val="000000"/>
        </w:rPr>
        <w:t>structures or possibly actively dissolve their shell, to</w:t>
      </w:r>
      <w:r w:rsidR="00E01B09" w:rsidRPr="00E01B09">
        <w:rPr>
          <w:rFonts w:ascii="Times" w:hAnsi="Times" w:cs="AdvPTimes"/>
          <w:color w:val="000000"/>
        </w:rPr>
        <w:t xml:space="preserve"> </w:t>
      </w:r>
      <w:r w:rsidRPr="00E01B09">
        <w:rPr>
          <w:rFonts w:ascii="Times" w:hAnsi="Times" w:cs="AdvPTimes"/>
          <w:color w:val="000000"/>
        </w:rPr>
        <w:t>make HCO</w:t>
      </w:r>
      <w:r w:rsidR="00E01B09" w:rsidRPr="00353A53">
        <w:rPr>
          <w:rFonts w:ascii="Times" w:hAnsi="Times" w:cs="AdvPTimes"/>
          <w:color w:val="000000"/>
          <w:vertAlign w:val="subscript"/>
        </w:rPr>
        <w:t>3</w:t>
      </w:r>
      <w:r w:rsidRPr="00353A53">
        <w:rPr>
          <w:rFonts w:ascii="Times" w:hAnsi="Times" w:cs="AdvPTimes"/>
          <w:color w:val="000000"/>
          <w:vertAlign w:val="superscript"/>
        </w:rPr>
        <w:t>-</w:t>
      </w:r>
      <w:r w:rsidRPr="00E01B09">
        <w:rPr>
          <w:rFonts w:ascii="Times" w:hAnsi="Times" w:cs="AdvPTimes"/>
          <w:color w:val="000000"/>
        </w:rPr>
        <w:t xml:space="preserve"> more available as a buffer against internal</w:t>
      </w:r>
      <w:r w:rsidR="00E01B09" w:rsidRPr="00E01B09">
        <w:rPr>
          <w:rFonts w:ascii="Times" w:hAnsi="Times" w:cs="AdvPTimes"/>
          <w:color w:val="000000"/>
        </w:rPr>
        <w:t xml:space="preserve"> </w:t>
      </w:r>
      <w:r w:rsidRPr="00E01B09">
        <w:rPr>
          <w:rFonts w:ascii="Times" w:hAnsi="Times" w:cs="AdvPTimes"/>
          <w:color w:val="000000"/>
        </w:rPr>
        <w:t>acidosis. Excess HCO</w:t>
      </w:r>
      <w:r w:rsidRPr="00353A53">
        <w:rPr>
          <w:rFonts w:ascii="Times" w:hAnsi="Times" w:cs="AdvPTimes"/>
          <w:color w:val="000000"/>
          <w:vertAlign w:val="subscript"/>
        </w:rPr>
        <w:t>3</w:t>
      </w:r>
      <w:r w:rsidRPr="00353A53">
        <w:rPr>
          <w:rFonts w:ascii="Times" w:hAnsi="Times" w:cs="AdvPTimes"/>
          <w:color w:val="000000"/>
          <w:vertAlign w:val="superscript"/>
        </w:rPr>
        <w:t>-</w:t>
      </w:r>
      <w:r w:rsidR="00E01B09" w:rsidRPr="00E01B09">
        <w:rPr>
          <w:rFonts w:ascii="Times" w:hAnsi="Times" w:cs="AdvPTimes"/>
          <w:color w:val="000000"/>
        </w:rPr>
        <w:t xml:space="preserve"> </w:t>
      </w:r>
      <w:r w:rsidRPr="00E01B09">
        <w:rPr>
          <w:rFonts w:ascii="Times" w:hAnsi="Times" w:cs="AdvPTimes"/>
          <w:color w:val="000000"/>
        </w:rPr>
        <w:t>for buffering can also be acquired</w:t>
      </w:r>
      <w:r w:rsidR="00E01B09" w:rsidRPr="00E01B09">
        <w:rPr>
          <w:rFonts w:ascii="Times" w:hAnsi="Times" w:cs="AdvPTimes"/>
          <w:color w:val="000000"/>
        </w:rPr>
        <w:t xml:space="preserve"> </w:t>
      </w:r>
      <w:r w:rsidRPr="00E01B09">
        <w:rPr>
          <w:rFonts w:ascii="Times" w:hAnsi="Times" w:cs="AdvPTimes"/>
          <w:color w:val="000000"/>
        </w:rPr>
        <w:t>from the aquatic environment. This phenomenon has been</w:t>
      </w:r>
      <w:r w:rsidR="00E01B09" w:rsidRPr="00E01B09">
        <w:rPr>
          <w:rFonts w:ascii="Times" w:hAnsi="Times" w:cs="AdvPTimes"/>
          <w:color w:val="000000"/>
        </w:rPr>
        <w:t xml:space="preserve"> </w:t>
      </w:r>
      <w:r w:rsidRPr="00E01B09">
        <w:rPr>
          <w:rFonts w:ascii="Times" w:hAnsi="Times" w:cs="AdvPTimes"/>
          <w:color w:val="000000"/>
        </w:rPr>
        <w:t xml:space="preserve">observed in Dungeness crabs, </w:t>
      </w:r>
      <w:r w:rsidRPr="00353A53">
        <w:rPr>
          <w:rFonts w:ascii="Times" w:hAnsi="Times" w:cs="AdvPTimes"/>
          <w:i/>
          <w:color w:val="000000"/>
        </w:rPr>
        <w:t>Cancer magister</w:t>
      </w:r>
      <w:r w:rsidRPr="00E01B09">
        <w:rPr>
          <w:rFonts w:ascii="Times" w:hAnsi="Times" w:cs="AdvPTimes"/>
          <w:color w:val="000000"/>
        </w:rPr>
        <w:t xml:space="preserve"> (Pane and</w:t>
      </w:r>
      <w:r w:rsidR="00E01B09" w:rsidRPr="00E01B09">
        <w:rPr>
          <w:rFonts w:ascii="Times" w:hAnsi="Times" w:cs="AdvPTimes"/>
          <w:color w:val="000000"/>
        </w:rPr>
        <w:t xml:space="preserve"> </w:t>
      </w:r>
      <w:r w:rsidRPr="00E01B09">
        <w:rPr>
          <w:rFonts w:ascii="Times" w:hAnsi="Times" w:cs="AdvPTimes"/>
          <w:color w:val="000000"/>
        </w:rPr>
        <w:t xml:space="preserve">Barry </w:t>
      </w:r>
      <w:r w:rsidRPr="00E01B09">
        <w:rPr>
          <w:rFonts w:ascii="Times" w:hAnsi="Times" w:cs="AdvPTimes"/>
          <w:color w:val="0000FF"/>
        </w:rPr>
        <w:t>2007</w:t>
      </w:r>
      <w:r w:rsidRPr="00E01B09">
        <w:rPr>
          <w:rFonts w:ascii="Times" w:hAnsi="Times" w:cs="AdvPTimes"/>
          <w:color w:val="000000"/>
        </w:rPr>
        <w:t xml:space="preserve">); blue crabs, </w:t>
      </w:r>
      <w:r w:rsidRPr="00353A53">
        <w:rPr>
          <w:rFonts w:ascii="Times" w:hAnsi="Times" w:cs="AdvPTimes"/>
          <w:i/>
          <w:color w:val="000000"/>
        </w:rPr>
        <w:t>Callinectes sapidus</w:t>
      </w:r>
      <w:r w:rsidRPr="00E01B09">
        <w:rPr>
          <w:rFonts w:ascii="Times" w:hAnsi="Times" w:cs="AdvPTimes"/>
          <w:color w:val="000000"/>
        </w:rPr>
        <w:t xml:space="preserve"> (Henry et al.</w:t>
      </w:r>
      <w:r w:rsidR="00E01B09" w:rsidRPr="00E01B09">
        <w:rPr>
          <w:rFonts w:ascii="Times" w:hAnsi="Times" w:cs="AdvPTimes"/>
          <w:color w:val="000000"/>
        </w:rPr>
        <w:t xml:space="preserve"> </w:t>
      </w:r>
      <w:r w:rsidRPr="00E01B09">
        <w:rPr>
          <w:rFonts w:ascii="Times" w:hAnsi="Times" w:cs="AdvPTimes"/>
          <w:color w:val="0000FF"/>
        </w:rPr>
        <w:t>1981</w:t>
      </w:r>
      <w:r w:rsidRPr="00E01B09">
        <w:rPr>
          <w:rFonts w:ascii="Times" w:hAnsi="Times" w:cs="AdvPTimes"/>
          <w:color w:val="000000"/>
        </w:rPr>
        <w:t xml:space="preserve">); limpets, </w:t>
      </w:r>
      <w:r w:rsidRPr="00353A53">
        <w:rPr>
          <w:rFonts w:ascii="Times" w:hAnsi="Times" w:cs="AdvPTimes"/>
          <w:i/>
          <w:color w:val="000000"/>
        </w:rPr>
        <w:t>Patella vulgata</w:t>
      </w:r>
      <w:r w:rsidRPr="00E01B09">
        <w:rPr>
          <w:rFonts w:ascii="Times" w:hAnsi="Times" w:cs="AdvPTimes"/>
          <w:color w:val="000000"/>
        </w:rPr>
        <w:t xml:space="preserve"> (Marchant et al. </w:t>
      </w:r>
      <w:r w:rsidRPr="00E01B09">
        <w:rPr>
          <w:rFonts w:ascii="Times" w:hAnsi="Times" w:cs="AdvPTimes"/>
          <w:color w:val="0000FF"/>
        </w:rPr>
        <w:t>2010</w:t>
      </w:r>
      <w:r w:rsidRPr="00E01B09">
        <w:rPr>
          <w:rFonts w:ascii="Times" w:hAnsi="Times" w:cs="AdvPTimes"/>
          <w:color w:val="000000"/>
        </w:rPr>
        <w:t>); and</w:t>
      </w:r>
      <w:r w:rsidR="00E01B09" w:rsidRPr="00E01B09">
        <w:rPr>
          <w:rFonts w:ascii="Times" w:hAnsi="Times" w:cs="AdvPTimes"/>
          <w:color w:val="000000"/>
        </w:rPr>
        <w:t xml:space="preserve"> urchins, </w:t>
      </w:r>
      <w:r w:rsidRPr="00353A53">
        <w:rPr>
          <w:rFonts w:ascii="Times" w:hAnsi="Times" w:cs="AdvPTimes"/>
          <w:i/>
          <w:color w:val="000000"/>
        </w:rPr>
        <w:t>Psammechinus miliaris</w:t>
      </w:r>
      <w:r w:rsidRPr="00E01B09">
        <w:rPr>
          <w:rFonts w:ascii="Times" w:hAnsi="Times" w:cs="AdvPTimes"/>
          <w:color w:val="000000"/>
        </w:rPr>
        <w:t xml:space="preserve"> (Miles et al. </w:t>
      </w:r>
      <w:r w:rsidRPr="00E01B09">
        <w:rPr>
          <w:rFonts w:ascii="Times" w:hAnsi="Times" w:cs="AdvPTimes"/>
          <w:color w:val="0000FF"/>
        </w:rPr>
        <w:t>2007</w:t>
      </w:r>
      <w:r w:rsidRPr="00E01B09">
        <w:rPr>
          <w:rFonts w:ascii="Times" w:hAnsi="Times" w:cs="AdvPTimes"/>
          <w:color w:val="000000"/>
        </w:rPr>
        <w:t>); however,</w:t>
      </w:r>
      <w:r w:rsidR="00E01B09" w:rsidRPr="00E01B09">
        <w:rPr>
          <w:rFonts w:ascii="Times" w:hAnsi="Times" w:cs="AdvPTimes"/>
          <w:color w:val="000000"/>
        </w:rPr>
        <w:t xml:space="preserve"> </w:t>
      </w:r>
      <w:r w:rsidRPr="00E01B09">
        <w:rPr>
          <w:rFonts w:ascii="Times" w:hAnsi="Times" w:cs="AdvPTimes"/>
          <w:color w:val="000000"/>
        </w:rPr>
        <w:t>internal acidosis was not successfully avoided in oysters,</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(Lannig et al. </w:t>
      </w:r>
      <w:r w:rsidRPr="00E01B09">
        <w:rPr>
          <w:rFonts w:ascii="Times" w:hAnsi="Times" w:cs="AdvPTimes"/>
          <w:color w:val="0000FF"/>
        </w:rPr>
        <w:t>2010</w:t>
      </w:r>
      <w:r w:rsidRPr="00E01B09">
        <w:rPr>
          <w:rFonts w:ascii="Times" w:hAnsi="Times" w:cs="AdvPTimes"/>
          <w:color w:val="000000"/>
        </w:rPr>
        <w:t>). It is not clear to what</w:t>
      </w:r>
      <w:r w:rsidR="00E01B09" w:rsidRPr="00E01B09">
        <w:rPr>
          <w:rFonts w:ascii="Times" w:hAnsi="Times" w:cs="AdvPTimes"/>
          <w:color w:val="000000"/>
        </w:rPr>
        <w:t xml:space="preserve"> </w:t>
      </w:r>
      <w:r w:rsidRPr="00E01B09">
        <w:rPr>
          <w:rFonts w:ascii="Times" w:hAnsi="Times" w:cs="AdvPTimes"/>
          <w:color w:val="000000"/>
        </w:rPr>
        <w:t>degree larvae can utilize this mechanism to maintain</w:t>
      </w:r>
      <w:r w:rsidR="00E01B09" w:rsidRPr="00E01B09">
        <w:rPr>
          <w:rFonts w:ascii="Times" w:hAnsi="Times" w:cs="AdvPTimes"/>
          <w:color w:val="000000"/>
        </w:rPr>
        <w:t xml:space="preserve"> </w:t>
      </w:r>
      <w:r w:rsidRPr="00E01B09">
        <w:rPr>
          <w:rFonts w:ascii="Times" w:hAnsi="Times" w:cs="AdvPTimes"/>
          <w:color w:val="000000"/>
        </w:rPr>
        <w:t xml:space="preserve">homeostasis under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conditions, but some</w:t>
      </w:r>
      <w:r w:rsidR="00E01B09" w:rsidRPr="00E01B09">
        <w:rPr>
          <w:rFonts w:ascii="Times" w:hAnsi="Times" w:cs="AdvPTimes"/>
          <w:color w:val="000000"/>
        </w:rPr>
        <w:t xml:space="preserve"> </w:t>
      </w:r>
      <w:r w:rsidRPr="00E01B09">
        <w:rPr>
          <w:rFonts w:ascii="Times" w:hAnsi="Times" w:cs="AdvPTimes"/>
          <w:color w:val="000000"/>
        </w:rPr>
        <w:t>invertebrates that inhabit naturally CO</w:t>
      </w:r>
      <w:r w:rsidRPr="00353A53">
        <w:rPr>
          <w:rFonts w:ascii="Times" w:hAnsi="Times" w:cs="AdvPTimes"/>
          <w:color w:val="000000"/>
          <w:vertAlign w:val="subscript"/>
        </w:rPr>
        <w:t>2</w:t>
      </w:r>
      <w:r w:rsidRPr="00E01B09">
        <w:rPr>
          <w:rFonts w:ascii="Times" w:hAnsi="Times" w:cs="AdvPTimes"/>
          <w:color w:val="000000"/>
        </w:rPr>
        <w:t>-rich environments</w:t>
      </w:r>
      <w:r w:rsidR="00E01B09" w:rsidRPr="00E01B09">
        <w:rPr>
          <w:rFonts w:ascii="Times" w:hAnsi="Times" w:cs="AdvPTimes"/>
          <w:color w:val="000000"/>
        </w:rPr>
        <w:t xml:space="preserve"> </w:t>
      </w:r>
      <w:r w:rsidRPr="00E01B09">
        <w:rPr>
          <w:rFonts w:ascii="Times" w:hAnsi="Times" w:cs="AdvPTimes"/>
          <w:color w:val="000000"/>
        </w:rPr>
        <w:t>are able to reproduce and the larvae settle without apparent</w:t>
      </w:r>
      <w:r w:rsidR="00E01B09" w:rsidRPr="00E01B09">
        <w:rPr>
          <w:rFonts w:ascii="Times" w:hAnsi="Times" w:cs="AdvPTimes"/>
          <w:color w:val="000000"/>
        </w:rPr>
        <w:t xml:space="preserve"> </w:t>
      </w:r>
      <w:r w:rsidRPr="00E01B09">
        <w:rPr>
          <w:rFonts w:ascii="Times" w:hAnsi="Times" w:cs="AdvPTimes"/>
          <w:color w:val="000000"/>
        </w:rPr>
        <w:t xml:space="preserve">adverse effects (Thomsen and Melzner </w:t>
      </w:r>
      <w:r w:rsidRPr="00E01B09">
        <w:rPr>
          <w:rFonts w:ascii="Times" w:hAnsi="Times" w:cs="AdvPTimes"/>
          <w:color w:val="0000FF"/>
        </w:rPr>
        <w:t>2010</w:t>
      </w:r>
      <w:r w:rsidRPr="00E01B09">
        <w:rPr>
          <w:rFonts w:ascii="Times" w:hAnsi="Times" w:cs="AdvPTimes"/>
          <w:color w:val="000000"/>
        </w:rPr>
        <w:t>).</w:t>
      </w:r>
      <w:r w:rsidR="00E01B09" w:rsidRPr="00E01B09">
        <w:rPr>
          <w:rFonts w:ascii="Times" w:hAnsi="Times" w:cs="AdvPTimes"/>
          <w:color w:val="000000"/>
        </w:rPr>
        <w:t xml:space="preserve"> </w:t>
      </w:r>
    </w:p>
    <w:p w14:paraId="7E1A74E7" w14:textId="54DCEF78"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Sustained environmental change, such as ocean acidification,</w:t>
      </w:r>
      <w:r w:rsidR="00E01B09" w:rsidRPr="00E01B09">
        <w:rPr>
          <w:rFonts w:ascii="Times" w:hAnsi="Times" w:cs="AdvPTimes"/>
          <w:color w:val="000000"/>
        </w:rPr>
        <w:t xml:space="preserve"> </w:t>
      </w:r>
      <w:r w:rsidRPr="00E01B09">
        <w:rPr>
          <w:rFonts w:ascii="Times" w:hAnsi="Times" w:cs="AdvPTimes"/>
          <w:color w:val="000000"/>
        </w:rPr>
        <w:t>can negatively affect both the ecosystem and economy.</w:t>
      </w:r>
      <w:r w:rsidR="00E01B09" w:rsidRPr="00E01B09">
        <w:rPr>
          <w:rFonts w:ascii="Times" w:hAnsi="Times" w:cs="AdvPTimes"/>
          <w:color w:val="000000"/>
        </w:rPr>
        <w:t xml:space="preserve"> </w:t>
      </w:r>
      <w:r w:rsidRPr="00E01B09">
        <w:rPr>
          <w:rFonts w:ascii="Times" w:hAnsi="Times" w:cs="AdvPTimes"/>
          <w:color w:val="000000"/>
        </w:rPr>
        <w:t>Shellfish, including oysters, provide important</w:t>
      </w:r>
      <w:r w:rsidR="00E01B09" w:rsidRPr="00E01B09">
        <w:rPr>
          <w:rFonts w:ascii="Times" w:hAnsi="Times" w:cs="AdvPTimes"/>
          <w:color w:val="000000"/>
        </w:rPr>
        <w:t xml:space="preserve"> </w:t>
      </w:r>
      <w:r w:rsidRPr="00E01B09">
        <w:rPr>
          <w:rFonts w:ascii="Times" w:hAnsi="Times" w:cs="AdvPTimes"/>
          <w:color w:val="000000"/>
        </w:rPr>
        <w:t>ecosystem services such as improved water quality and</w:t>
      </w:r>
      <w:r w:rsidR="00E01B09" w:rsidRPr="00E01B09">
        <w:rPr>
          <w:rFonts w:ascii="Times" w:hAnsi="Times" w:cs="AdvPTimes"/>
          <w:color w:val="000000"/>
        </w:rPr>
        <w:t xml:space="preserve"> </w:t>
      </w:r>
      <w:r w:rsidRPr="00E01B09">
        <w:rPr>
          <w:rFonts w:ascii="Times" w:hAnsi="Times" w:cs="AdvPTimes"/>
          <w:color w:val="000000"/>
        </w:rPr>
        <w:t>benthic-pelagic coupling through the filtration of large volumes</w:t>
      </w:r>
      <w:r w:rsidR="00E01B09" w:rsidRPr="00E01B09">
        <w:rPr>
          <w:rFonts w:ascii="Times" w:hAnsi="Times" w:cs="AdvPTimes"/>
          <w:color w:val="000000"/>
        </w:rPr>
        <w:t xml:space="preserve"> </w:t>
      </w:r>
      <w:r w:rsidRPr="00E01B09">
        <w:rPr>
          <w:rFonts w:ascii="Times" w:hAnsi="Times" w:cs="AdvPTimes"/>
          <w:color w:val="000000"/>
        </w:rPr>
        <w:t>of water, release of feces to the benthos, and creation of</w:t>
      </w:r>
      <w:r w:rsidR="00E01B09" w:rsidRPr="00E01B09">
        <w:rPr>
          <w:rFonts w:ascii="Times" w:hAnsi="Times" w:cs="AdvPTimes"/>
          <w:color w:val="000000"/>
        </w:rPr>
        <w:t xml:space="preserve"> </w:t>
      </w:r>
      <w:r w:rsidRPr="00E01B09">
        <w:rPr>
          <w:rFonts w:ascii="Times" w:hAnsi="Times" w:cs="AdvPTimes"/>
          <w:color w:val="000000"/>
        </w:rPr>
        <w:t xml:space="preserve">habitat via reef formation (Coen and Luckenbach </w:t>
      </w:r>
      <w:r w:rsidRPr="00E01B09">
        <w:rPr>
          <w:rFonts w:ascii="Times" w:hAnsi="Times" w:cs="AdvPTimes"/>
          <w:color w:val="0000FF"/>
        </w:rPr>
        <w:t>2000</w:t>
      </w:r>
      <w:r w:rsidRPr="00E01B09">
        <w:rPr>
          <w:rFonts w:ascii="Times" w:hAnsi="Times" w:cs="AdvPTimes"/>
          <w:color w:val="000000"/>
        </w:rPr>
        <w:t>). In</w:t>
      </w:r>
      <w:r w:rsidR="00E01B09" w:rsidRPr="00E01B09">
        <w:rPr>
          <w:rFonts w:ascii="Times" w:hAnsi="Times" w:cs="AdvPTimes"/>
          <w:color w:val="000000"/>
        </w:rPr>
        <w:t xml:space="preserve"> </w:t>
      </w:r>
      <w:r w:rsidRPr="00E01B09">
        <w:rPr>
          <w:rFonts w:ascii="Times" w:hAnsi="Times" w:cs="AdvPTimes"/>
          <w:color w:val="000000"/>
        </w:rPr>
        <w:t>addition to their ecological roles, mollusks are economically</w:t>
      </w:r>
      <w:r w:rsidR="00E01B09" w:rsidRPr="00E01B09">
        <w:rPr>
          <w:rFonts w:ascii="Times" w:hAnsi="Times" w:cs="AdvPTimes"/>
          <w:color w:val="000000"/>
        </w:rPr>
        <w:t xml:space="preserve"> </w:t>
      </w:r>
      <w:r w:rsidRPr="00E01B09">
        <w:rPr>
          <w:rFonts w:ascii="Times" w:hAnsi="Times" w:cs="AdvPTimes"/>
          <w:color w:val="000000"/>
        </w:rPr>
        <w:t>important to many coastal communities worldwide. In 2008,</w:t>
      </w:r>
      <w:r w:rsidR="00E01B09" w:rsidRPr="00E01B09">
        <w:rPr>
          <w:rFonts w:ascii="Times" w:hAnsi="Times" w:cs="AdvPTimes"/>
          <w:color w:val="000000"/>
        </w:rPr>
        <w:t xml:space="preserve"> </w:t>
      </w:r>
      <w:r w:rsidRPr="00E01B09">
        <w:rPr>
          <w:rFonts w:ascii="Times" w:hAnsi="Times" w:cs="AdvPTimes"/>
          <w:color w:val="000000"/>
        </w:rPr>
        <w:t>mollusks comprised 64.1 % (or 13.1 million tons) of</w:t>
      </w:r>
      <w:r w:rsidR="00E01B09" w:rsidRPr="00E01B09">
        <w:rPr>
          <w:rFonts w:ascii="Times" w:hAnsi="Times" w:cs="AdvPTimes"/>
          <w:color w:val="000000"/>
        </w:rPr>
        <w:t xml:space="preserve"> </w:t>
      </w:r>
      <w:r w:rsidRPr="00E01B09">
        <w:rPr>
          <w:rFonts w:ascii="Times" w:hAnsi="Times" w:cs="AdvPTimes"/>
          <w:color w:val="000000"/>
        </w:rPr>
        <w:t>worldwide aquaculture production, with oysters accounting</w:t>
      </w:r>
      <w:r w:rsidR="00E01B09" w:rsidRPr="00E01B09">
        <w:rPr>
          <w:rFonts w:ascii="Times" w:hAnsi="Times" w:cs="AdvPTimes"/>
          <w:color w:val="000000"/>
        </w:rPr>
        <w:t xml:space="preserve"> </w:t>
      </w:r>
      <w:r w:rsidRPr="00E01B09">
        <w:rPr>
          <w:rFonts w:ascii="Times" w:hAnsi="Times" w:cs="AdvPTimes"/>
          <w:color w:val="000000"/>
        </w:rPr>
        <w:t xml:space="preserve">for 31.8 % of the total production (FAO </w:t>
      </w:r>
      <w:r w:rsidRPr="00E01B09">
        <w:rPr>
          <w:rFonts w:ascii="Times" w:hAnsi="Times" w:cs="AdvPTimes"/>
          <w:color w:val="0000FF"/>
        </w:rPr>
        <w:t>2010</w:t>
      </w:r>
      <w:r w:rsidRPr="00E01B09">
        <w:rPr>
          <w:rFonts w:ascii="Times" w:hAnsi="Times" w:cs="AdvPTimes"/>
          <w:color w:val="000000"/>
        </w:rPr>
        <w:t>). The global</w:t>
      </w:r>
      <w:r w:rsidR="00E01B09" w:rsidRPr="00E01B09">
        <w:rPr>
          <w:rFonts w:ascii="Times" w:hAnsi="Times" w:cs="AdvPTimes"/>
          <w:color w:val="000000"/>
        </w:rPr>
        <w:t xml:space="preserve"> </w:t>
      </w:r>
      <w:r w:rsidRPr="00E01B09">
        <w:rPr>
          <w:rFonts w:ascii="Times" w:hAnsi="Times" w:cs="AdvPTimes"/>
          <w:color w:val="000000"/>
        </w:rPr>
        <w:t>economic cost of ocean acidification to the mollusk fishery is</w:t>
      </w:r>
      <w:r w:rsidR="00E01B09" w:rsidRPr="00E01B09">
        <w:rPr>
          <w:rFonts w:ascii="Times" w:hAnsi="Times" w:cs="AdvPTimes"/>
          <w:color w:val="000000"/>
        </w:rPr>
        <w:t xml:space="preserve"> </w:t>
      </w:r>
      <w:r w:rsidRPr="00E01B09">
        <w:rPr>
          <w:rFonts w:ascii="Times" w:hAnsi="Times" w:cs="AdvPTimes"/>
          <w:color w:val="000000"/>
        </w:rPr>
        <w:t>unclear but has been estimated to increase with rising</w:t>
      </w:r>
      <w:r w:rsidR="00E01B09" w:rsidRPr="00E01B09">
        <w:rPr>
          <w:rFonts w:ascii="Times" w:hAnsi="Times" w:cs="AdvPTimes"/>
          <w:color w:val="000000"/>
        </w:rPr>
        <w:t xml:space="preserve"> </w:t>
      </w:r>
      <w:r w:rsidRPr="00E01B09">
        <w:rPr>
          <w:rFonts w:ascii="Times" w:hAnsi="Times" w:cs="AdvPTimes"/>
          <w:color w:val="000000"/>
        </w:rPr>
        <w:t>atmospheric CO</w:t>
      </w:r>
      <w:r w:rsidRPr="00DB3ADB">
        <w:rPr>
          <w:rFonts w:ascii="Times" w:hAnsi="Times" w:cs="AdvPTimes"/>
          <w:color w:val="000000"/>
          <w:vertAlign w:val="subscript"/>
        </w:rPr>
        <w:t>2</w:t>
      </w:r>
      <w:r w:rsidRPr="00E01B09">
        <w:rPr>
          <w:rFonts w:ascii="Times" w:hAnsi="Times" w:cs="AdvPTimes"/>
          <w:color w:val="000000"/>
        </w:rPr>
        <w:t xml:space="preserve"> levels and terrestrial sources of acidification</w:t>
      </w:r>
      <w:r w:rsidR="00E01B09" w:rsidRPr="00E01B09">
        <w:rPr>
          <w:rFonts w:ascii="Times" w:hAnsi="Times" w:cs="AdvPTimes"/>
          <w:color w:val="000000"/>
        </w:rPr>
        <w:t xml:space="preserve"> </w:t>
      </w:r>
      <w:r w:rsidRPr="00E01B09">
        <w:rPr>
          <w:rFonts w:ascii="Times" w:hAnsi="Times" w:cs="AdvPTimes"/>
          <w:color w:val="000000"/>
        </w:rPr>
        <w:t xml:space="preserve">(Narita et al. </w:t>
      </w:r>
      <w:r w:rsidRPr="00E01B09">
        <w:rPr>
          <w:rFonts w:ascii="Times" w:hAnsi="Times" w:cs="AdvPTimes"/>
          <w:color w:val="0000FF"/>
        </w:rPr>
        <w:t>2012</w:t>
      </w:r>
      <w:r w:rsidRPr="00E01B09">
        <w:rPr>
          <w:rFonts w:ascii="Times" w:hAnsi="Times" w:cs="AdvPTimes"/>
          <w:color w:val="000000"/>
        </w:rPr>
        <w:t>). Recently, in the Pacific Northwest</w:t>
      </w:r>
      <w:r w:rsidR="00E01B09" w:rsidRPr="00E01B09">
        <w:rPr>
          <w:rFonts w:ascii="Times" w:hAnsi="Times" w:cs="AdvPTimes"/>
          <w:color w:val="000000"/>
        </w:rPr>
        <w:t xml:space="preserve"> </w:t>
      </w:r>
      <w:r w:rsidRPr="00E01B09">
        <w:rPr>
          <w:rFonts w:ascii="Times" w:hAnsi="Times" w:cs="AdvPTimes"/>
          <w:color w:val="000000"/>
        </w:rPr>
        <w:t>of the US, concern has heightened over the already apparent</w:t>
      </w:r>
      <w:r w:rsidR="00E01B09" w:rsidRPr="00E01B09">
        <w:rPr>
          <w:rFonts w:ascii="Times" w:hAnsi="Times" w:cs="AdvPTimes"/>
          <w:color w:val="000000"/>
        </w:rPr>
        <w:t xml:space="preserve"> </w:t>
      </w:r>
      <w:r w:rsidRPr="00E01B09">
        <w:rPr>
          <w:rFonts w:ascii="Times" w:hAnsi="Times" w:cs="AdvPTimes"/>
          <w:color w:val="000000"/>
        </w:rPr>
        <w:t>effects of corrosive, acidified water on both natural and</w:t>
      </w:r>
      <w:r w:rsidR="00E01B09" w:rsidRPr="00E01B09">
        <w:rPr>
          <w:rFonts w:ascii="Times" w:hAnsi="Times" w:cs="AdvPTimes"/>
          <w:color w:val="000000"/>
        </w:rPr>
        <w:t xml:space="preserve"> </w:t>
      </w:r>
      <w:r w:rsidRPr="00E01B09">
        <w:rPr>
          <w:rFonts w:ascii="Times" w:hAnsi="Times" w:cs="AdvPTimes"/>
          <w:color w:val="000000"/>
        </w:rPr>
        <w:t xml:space="preserve">hatchery production of </w:t>
      </w:r>
      <w:r w:rsidRPr="00DB3ADB">
        <w:rPr>
          <w:rFonts w:ascii="Times" w:hAnsi="Times" w:cs="AdvPTimes"/>
          <w:i/>
          <w:color w:val="000000"/>
        </w:rPr>
        <w:t>C. gigas</w:t>
      </w:r>
      <w:r w:rsidRPr="00E01B09">
        <w:rPr>
          <w:rFonts w:ascii="Times" w:hAnsi="Times" w:cs="AdvPTimes"/>
          <w:color w:val="000000"/>
        </w:rPr>
        <w:t xml:space="preserve"> larvae (Elston et al. </w:t>
      </w:r>
      <w:r w:rsidRPr="00E01B09">
        <w:rPr>
          <w:rFonts w:ascii="Times" w:hAnsi="Times" w:cs="AdvPTimes"/>
          <w:color w:val="0000FF"/>
        </w:rPr>
        <w:t>2008</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Feely et al. </w:t>
      </w:r>
      <w:r w:rsidRPr="00E01B09">
        <w:rPr>
          <w:rFonts w:ascii="Times" w:hAnsi="Times" w:cs="AdvPTimes"/>
          <w:color w:val="0000FF"/>
        </w:rPr>
        <w:t>2010</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Hatchery water supply</w:t>
      </w:r>
      <w:r w:rsidR="00E01B09" w:rsidRPr="00E01B09">
        <w:rPr>
          <w:rFonts w:ascii="Times" w:hAnsi="Times" w:cs="AdvPTimes"/>
          <w:color w:val="000000"/>
        </w:rPr>
        <w:t xml:space="preserve"> </w:t>
      </w:r>
      <w:r w:rsidRPr="00E01B09">
        <w:rPr>
          <w:rFonts w:ascii="Times" w:hAnsi="Times" w:cs="AdvPTimes"/>
          <w:color w:val="000000"/>
        </w:rPr>
        <w:t>comes from adjacent natural bays, and when upwelling</w:t>
      </w:r>
      <w:r w:rsidR="00E01B09" w:rsidRPr="00E01B09">
        <w:rPr>
          <w:rFonts w:ascii="Times" w:hAnsi="Times" w:cs="AdvPTimes"/>
          <w:color w:val="000000"/>
        </w:rPr>
        <w:t xml:space="preserve"> </w:t>
      </w:r>
      <w:r w:rsidRPr="00E01B09">
        <w:rPr>
          <w:rFonts w:ascii="Times" w:hAnsi="Times" w:cs="AdvPTimes"/>
          <w:color w:val="000000"/>
        </w:rPr>
        <w:t>events occur, the water that enters the hatchery can reach</w:t>
      </w:r>
      <w:r w:rsidR="00E01B09" w:rsidRPr="00E01B09">
        <w:rPr>
          <w:rFonts w:ascii="Times" w:hAnsi="Times" w:cs="AdvPTimes"/>
          <w:color w:val="000000"/>
        </w:rPr>
        <w:t xml:space="preserve">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00DB3ADB">
        <w:rPr>
          <w:rFonts w:ascii="Times" w:hAnsi="Times" w:cs="AdvPTimes"/>
          <w:color w:val="000000"/>
        </w:rPr>
        <w:t xml:space="preserve"> near 1,000 μ</w:t>
      </w:r>
      <w:r w:rsidRPr="00E01B09">
        <w:rPr>
          <w:rFonts w:ascii="Times" w:hAnsi="Times" w:cs="AdvPTimes"/>
          <w:color w:val="000000"/>
        </w:rPr>
        <w:t>atm (S. Alin, unpublished data; B. Eudeline,</w:t>
      </w:r>
      <w:r w:rsidR="00E01B09" w:rsidRPr="00E01B09">
        <w:rPr>
          <w:rFonts w:ascii="Times" w:hAnsi="Times" w:cs="AdvPTimes"/>
          <w:color w:val="000000"/>
        </w:rPr>
        <w:t xml:space="preserve"> </w:t>
      </w:r>
      <w:r w:rsidRPr="00E01B09">
        <w:rPr>
          <w:rFonts w:ascii="Times" w:hAnsi="Times" w:cs="AdvPTimes"/>
          <w:color w:val="000000"/>
        </w:rPr>
        <w:t>pers. comm.). These upwelling events have been</w:t>
      </w:r>
      <w:r w:rsidR="00E01B09" w:rsidRPr="00E01B09">
        <w:rPr>
          <w:rFonts w:ascii="Times" w:hAnsi="Times" w:cs="AdvPTimes"/>
          <w:color w:val="000000"/>
        </w:rPr>
        <w:t xml:space="preserve"> </w:t>
      </w:r>
      <w:r w:rsidRPr="00E01B09">
        <w:rPr>
          <w:rFonts w:ascii="Times" w:hAnsi="Times" w:cs="AdvPTimes"/>
          <w:color w:val="000000"/>
        </w:rPr>
        <w:t>linked to mortality episodes in the hatchery, perhaps due to a</w:t>
      </w:r>
      <w:r w:rsidR="00E01B09" w:rsidRPr="00E01B09">
        <w:rPr>
          <w:rFonts w:ascii="Times" w:hAnsi="Times" w:cs="AdvPTimes"/>
          <w:color w:val="000000"/>
        </w:rPr>
        <w:t xml:space="preserve"> </w:t>
      </w:r>
      <w:r w:rsidRPr="00E01B09">
        <w:rPr>
          <w:rFonts w:ascii="Times" w:hAnsi="Times" w:cs="AdvPTimes"/>
          <w:color w:val="000000"/>
        </w:rPr>
        <w:t>combination of acidic water and pathogens associated with</w:t>
      </w:r>
      <w:r w:rsidR="00E01B09" w:rsidRPr="00E01B09">
        <w:rPr>
          <w:rFonts w:ascii="Times" w:hAnsi="Times" w:cs="AdvPTimes"/>
          <w:color w:val="000000"/>
        </w:rPr>
        <w:t xml:space="preserve"> </w:t>
      </w:r>
      <w:r w:rsidRPr="00E01B09">
        <w:rPr>
          <w:rFonts w:ascii="Times" w:hAnsi="Times" w:cs="AdvPTimes"/>
          <w:color w:val="000000"/>
        </w:rPr>
        <w:t xml:space="preserve">the water masses (Elston et al. </w:t>
      </w:r>
      <w:r w:rsidRPr="00E01B09">
        <w:rPr>
          <w:rFonts w:ascii="Times" w:hAnsi="Times" w:cs="AdvPTimes"/>
          <w:color w:val="0000FF"/>
        </w:rPr>
        <w:t>2008</w:t>
      </w:r>
      <w:r w:rsidRPr="00E01B09">
        <w:rPr>
          <w:rFonts w:ascii="Times" w:hAnsi="Times" w:cs="AdvPTimes"/>
          <w:color w:val="000000"/>
        </w:rPr>
        <w:t>). Acidification events</w:t>
      </w:r>
      <w:r w:rsidR="00E01B09" w:rsidRPr="00E01B09">
        <w:rPr>
          <w:rFonts w:ascii="Times" w:hAnsi="Times" w:cs="AdvPTimes"/>
          <w:color w:val="000000"/>
        </w:rPr>
        <w:t xml:space="preserve"> </w:t>
      </w:r>
      <w:r w:rsidRPr="00E01B09">
        <w:rPr>
          <w:rFonts w:ascii="Times" w:hAnsi="Times" w:cs="AdvPTimes"/>
          <w:color w:val="000000"/>
        </w:rPr>
        <w:t>are projected to become more frequent and sustained as</w:t>
      </w:r>
      <w:r w:rsidR="00E01B09" w:rsidRPr="00E01B09">
        <w:rPr>
          <w:rFonts w:ascii="Times" w:hAnsi="Times" w:cs="AdvPTimes"/>
          <w:color w:val="000000"/>
        </w:rPr>
        <w:t xml:space="preserve"> </w:t>
      </w:r>
      <w:r w:rsidRPr="00E01B09">
        <w:rPr>
          <w:rFonts w:ascii="Times" w:hAnsi="Times" w:cs="AdvPTimes"/>
          <w:color w:val="000000"/>
        </w:rPr>
        <w:t xml:space="preserve">atmospheric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continues to rise.</w:t>
      </w:r>
      <w:r w:rsidR="00E01B09" w:rsidRPr="00E01B09">
        <w:rPr>
          <w:rFonts w:ascii="Times" w:hAnsi="Times" w:cs="AdvPTimes"/>
          <w:color w:val="000000"/>
        </w:rPr>
        <w:t xml:space="preserve"> </w:t>
      </w:r>
    </w:p>
    <w:p w14:paraId="5803AB7E" w14:textId="2E02DB74" w:rsidR="00C02D9B"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This study characterized the effects of two elevated levels</w:t>
      </w:r>
      <w:r w:rsidR="00E01B09" w:rsidRPr="00E01B09">
        <w:rPr>
          <w:rFonts w:ascii="Times" w:hAnsi="Times" w:cs="AdvPTimes"/>
          <w:color w:val="000000"/>
        </w:rPr>
        <w:t xml:space="preserve"> </w:t>
      </w:r>
      <w:r w:rsidRPr="00E01B09">
        <w:rPr>
          <w:rFonts w:ascii="Times" w:hAnsi="Times" w:cs="AdvPTimes"/>
          <w:color w:val="000000"/>
        </w:rPr>
        <w:t xml:space="preserve">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on size, calcification, and development during early</w:t>
      </w:r>
      <w:r w:rsidR="00E01B09" w:rsidRPr="00E01B09">
        <w:rPr>
          <w:rFonts w:ascii="Times" w:hAnsi="Times" w:cs="AdvPTimes"/>
          <w:color w:val="000000"/>
        </w:rPr>
        <w:t xml:space="preserve"> </w:t>
      </w:r>
      <w:r w:rsidRPr="00E01B09">
        <w:rPr>
          <w:rFonts w:ascii="Times" w:hAnsi="Times" w:cs="AdvPTimes"/>
          <w:color w:val="000000"/>
        </w:rPr>
        <w:t xml:space="preserve">larval stages of the Pacific oyster, </w:t>
      </w:r>
      <w:r w:rsidRPr="00DB3ADB">
        <w:rPr>
          <w:rFonts w:ascii="Times" w:hAnsi="Times" w:cs="AdvPTimes"/>
          <w:i/>
          <w:color w:val="000000"/>
        </w:rPr>
        <w:t>Crassostrea gigas</w:t>
      </w:r>
      <w:r w:rsidRPr="00E01B09">
        <w:rPr>
          <w:rFonts w:ascii="Times" w:hAnsi="Times" w:cs="AdvPTimes"/>
          <w:color w:val="000000"/>
        </w:rPr>
        <w:t>. Oyster</w:t>
      </w:r>
      <w:r w:rsidR="00E01B09" w:rsidRPr="00E01B09">
        <w:rPr>
          <w:rFonts w:ascii="Times" w:hAnsi="Times" w:cs="AdvPTimes"/>
          <w:color w:val="000000"/>
        </w:rPr>
        <w:t xml:space="preserve"> </w:t>
      </w:r>
      <w:r w:rsidRPr="00E01B09">
        <w:rPr>
          <w:rFonts w:ascii="Times" w:hAnsi="Times" w:cs="AdvPTimes"/>
          <w:color w:val="000000"/>
        </w:rPr>
        <w:t xml:space="preserve">larvae were raised in two elevated levels 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(700 and</w:t>
      </w:r>
      <w:r w:rsidR="00E01B09" w:rsidRPr="00E01B09">
        <w:rPr>
          <w:rFonts w:ascii="Times" w:hAnsi="Times" w:cs="AdvPTimes"/>
          <w:color w:val="000000"/>
        </w:rPr>
        <w:t xml:space="preserve"> </w:t>
      </w:r>
      <w:r w:rsidR="00DB3ADB">
        <w:rPr>
          <w:rFonts w:ascii="Times" w:hAnsi="Times" w:cs="AdvPTimes"/>
          <w:color w:val="000000"/>
        </w:rPr>
        <w:t>1,000 μ</w:t>
      </w:r>
      <w:r w:rsidRPr="00E01B09">
        <w:rPr>
          <w:rFonts w:ascii="Times" w:hAnsi="Times" w:cs="AdvPTimes"/>
          <w:color w:val="000000"/>
        </w:rPr>
        <w:t>atm) and ambient (</w:t>
      </w:r>
      <w:r w:rsidR="00DB3ADB">
        <w:rPr>
          <w:rFonts w:ascii="Times" w:hAnsi="Times" w:cs="AdvPTimes"/>
          <w:color w:val="000000"/>
        </w:rPr>
        <w:t>400 μ</w:t>
      </w:r>
      <w:r w:rsidR="00E01B09" w:rsidRPr="00E01B09">
        <w:rPr>
          <w:rFonts w:ascii="Times" w:hAnsi="Times" w:cs="AdvPTimes"/>
          <w:color w:val="000000"/>
        </w:rPr>
        <w:t xml:space="preserve">atm) seawater through 72 h </w:t>
      </w:r>
      <w:r w:rsidRPr="00E01B09">
        <w:rPr>
          <w:rFonts w:ascii="Times" w:hAnsi="Times" w:cs="AdvPTimes"/>
          <w:color w:val="000000"/>
        </w:rPr>
        <w:t>following fertilization. The chemistry scenarios simulated in</w:t>
      </w:r>
      <w:r w:rsidR="00E01B09" w:rsidRPr="00E01B09">
        <w:rPr>
          <w:rFonts w:ascii="Times" w:hAnsi="Times" w:cs="AdvPTimes"/>
          <w:color w:val="000000"/>
        </w:rPr>
        <w:t xml:space="preserve"> </w:t>
      </w:r>
      <w:r w:rsidRPr="00E01B09">
        <w:rPr>
          <w:rFonts w:ascii="Times" w:hAnsi="Times" w:cs="AdvPTimes"/>
          <w:color w:val="000000"/>
        </w:rPr>
        <w:t>this study are based on projections for the coming century,</w:t>
      </w:r>
      <w:r w:rsidR="00E01B09" w:rsidRPr="00E01B09">
        <w:rPr>
          <w:rFonts w:ascii="Times" w:hAnsi="Times" w:cs="AdvPTimes"/>
          <w:color w:val="000000"/>
        </w:rPr>
        <w:t xml:space="preserve"> </w:t>
      </w:r>
      <w:r w:rsidR="00DB3ADB">
        <w:rPr>
          <w:rFonts w:ascii="Times" w:hAnsi="Times" w:cs="AdvPTimes"/>
          <w:color w:val="000000"/>
        </w:rPr>
        <w:t>but these values of low pH and Ω</w:t>
      </w:r>
      <w:r w:rsidRPr="00E01B09">
        <w:rPr>
          <w:rFonts w:ascii="Times" w:hAnsi="Times" w:cs="AdvPTimes"/>
          <w:color w:val="000000"/>
        </w:rPr>
        <w:t xml:space="preserve"> are already occurring with</w:t>
      </w:r>
      <w:r w:rsidR="00E01B09" w:rsidRPr="00E01B09">
        <w:rPr>
          <w:rFonts w:ascii="Times" w:hAnsi="Times" w:cs="AdvPTimes"/>
          <w:color w:val="000000"/>
        </w:rPr>
        <w:t xml:space="preserve"> </w:t>
      </w:r>
      <w:r w:rsidRPr="00E01B09">
        <w:rPr>
          <w:rFonts w:ascii="Times" w:hAnsi="Times" w:cs="AdvPTimes"/>
          <w:color w:val="000000"/>
        </w:rPr>
        <w:t>increasing frequency in nearshore upwelling systems off the</w:t>
      </w:r>
      <w:r w:rsidR="00E01B09" w:rsidRPr="00E01B09">
        <w:rPr>
          <w:rFonts w:ascii="Times" w:hAnsi="Times" w:cs="AdvPTimes"/>
          <w:color w:val="000000"/>
        </w:rPr>
        <w:t xml:space="preserve"> </w:t>
      </w:r>
      <w:r w:rsidRPr="00E01B09">
        <w:rPr>
          <w:rFonts w:ascii="Times" w:hAnsi="Times" w:cs="AdvPTimes"/>
          <w:color w:val="000000"/>
        </w:rPr>
        <w:t xml:space="preserve">US West coast (Feely et al. </w:t>
      </w:r>
      <w:r w:rsidRPr="00E01B09">
        <w:rPr>
          <w:rFonts w:ascii="Times" w:hAnsi="Times" w:cs="AdvPTimes"/>
          <w:color w:val="0000FF"/>
        </w:rPr>
        <w:t>2010</w:t>
      </w:r>
      <w:r w:rsidRPr="00E01B09">
        <w:rPr>
          <w:rFonts w:ascii="Times" w:hAnsi="Times" w:cs="AdvPTimes"/>
          <w:color w:val="000000"/>
        </w:rPr>
        <w:t xml:space="preserve">; Hauri et al. </w:t>
      </w:r>
      <w:r w:rsidRPr="00E01B09">
        <w:rPr>
          <w:rFonts w:ascii="Times" w:hAnsi="Times" w:cs="AdvPTimes"/>
          <w:color w:val="0000FF"/>
        </w:rPr>
        <w:t>2009</w:t>
      </w:r>
      <w:r w:rsidRPr="00E01B09">
        <w:rPr>
          <w:rFonts w:ascii="Times" w:hAnsi="Times" w:cs="AdvPTimes"/>
          <w:color w:val="000000"/>
        </w:rPr>
        <w:t>).</w:t>
      </w:r>
    </w:p>
    <w:p w14:paraId="1FD6D811" w14:textId="77777777" w:rsidR="00C02D9B" w:rsidRDefault="00C02D9B" w:rsidP="00C02D9B">
      <w:pPr>
        <w:pStyle w:val="Heading2"/>
      </w:pPr>
      <w:bookmarkStart w:id="16" w:name="_Toc252109981"/>
      <w:r>
        <w:t>M</w:t>
      </w:r>
      <w:r w:rsidR="00E01B09">
        <w:t>aterials and m</w:t>
      </w:r>
      <w:r>
        <w:t>ethods</w:t>
      </w:r>
      <w:bookmarkEnd w:id="16"/>
    </w:p>
    <w:p w14:paraId="102BCF1B" w14:textId="77777777" w:rsidR="00E01B09" w:rsidRDefault="00E01B09" w:rsidP="00E01B09">
      <w:pPr>
        <w:pStyle w:val="Heading3"/>
      </w:pPr>
      <w:bookmarkStart w:id="17" w:name="_Toc252109982"/>
      <w:r>
        <w:t>Seawater chemistry manipulation</w:t>
      </w:r>
      <w:bookmarkEnd w:id="17"/>
    </w:p>
    <w:p w14:paraId="2B9B72AD" w14:textId="77777777" w:rsidR="005643FD" w:rsidRPr="005643FD" w:rsidRDefault="005643FD" w:rsidP="005643FD"/>
    <w:p w14:paraId="7BB50ADC" w14:textId="734C76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Experimental conditions were maintained using a flowthrough seawater system in Friday Harbor, Washington, USA. Water entering t</w:t>
      </w:r>
      <w:r w:rsidR="00DB3ADB">
        <w:rPr>
          <w:rFonts w:ascii="Times" w:hAnsi="Times" w:cs="AdvPTimes"/>
          <w:color w:val="000000"/>
        </w:rPr>
        <w:t>he system was filtered (to 0.2-μ</w:t>
      </w:r>
      <w:r w:rsidRPr="00086257">
        <w:rPr>
          <w:rFonts w:ascii="Times" w:hAnsi="Times" w:cs="AdvPTimes"/>
          <w:color w:val="000000"/>
        </w:rPr>
        <w:t>m), UV-sterilized, and CO</w:t>
      </w:r>
      <w:r w:rsidRPr="00DB3ADB">
        <w:rPr>
          <w:rFonts w:ascii="Times" w:hAnsi="Times" w:cs="AdvPTimes"/>
          <w:color w:val="000000"/>
          <w:vertAlign w:val="subscript"/>
        </w:rPr>
        <w:t>2</w:t>
      </w:r>
      <w:r w:rsidRPr="00086257">
        <w:rPr>
          <w:rFonts w:ascii="Times" w:hAnsi="Times" w:cs="AdvPTimes"/>
          <w:color w:val="000000"/>
        </w:rPr>
        <w:t xml:space="preserve">-depleted using membrane </w:t>
      </w:r>
      <w:proofErr w:type="gramStart"/>
      <w:r w:rsidRPr="00086257">
        <w:rPr>
          <w:rFonts w:ascii="Times" w:hAnsi="Times" w:cs="AdvPTimes"/>
          <w:color w:val="000000"/>
        </w:rPr>
        <w:t>contactors</w:t>
      </w:r>
      <w:proofErr w:type="gramEnd"/>
      <w:r w:rsidRPr="00086257">
        <w:rPr>
          <w:rFonts w:ascii="Times" w:hAnsi="Times" w:cs="AdvPTimes"/>
          <w:color w:val="000000"/>
        </w:rPr>
        <w:t xml:space="preserve"> (Membrana, Charlotte, North Carolina, USA) under partial vacuum. Three experimental treatments were chosen to correspond with dissolved CO</w:t>
      </w:r>
      <w:r w:rsidRPr="00DB3ADB">
        <w:rPr>
          <w:rFonts w:ascii="Times" w:hAnsi="Times" w:cs="AdvPTimes"/>
          <w:color w:val="000000"/>
          <w:vertAlign w:val="subscript"/>
        </w:rPr>
        <w:t>2</w:t>
      </w:r>
      <w:r w:rsidRPr="00086257">
        <w:rPr>
          <w:rFonts w:ascii="Times" w:hAnsi="Times" w:cs="AdvPTimes"/>
          <w:color w:val="000000"/>
        </w:rPr>
        <w:t xml:space="preserve"> levels of 400, 700, or 1,000 ppm in the atmosphere. These three treatments will be referred to throughout the manuscript as Ambient, MidCO</w:t>
      </w:r>
      <w:r w:rsidRPr="00DB3ADB">
        <w:rPr>
          <w:rFonts w:ascii="Times" w:hAnsi="Times" w:cs="AdvPTimes"/>
          <w:color w:val="000000"/>
          <w:vertAlign w:val="subscript"/>
        </w:rPr>
        <w:t>2</w:t>
      </w:r>
      <w:r w:rsidRPr="00086257">
        <w:rPr>
          <w:rFonts w:ascii="Times" w:hAnsi="Times" w:cs="AdvPTimes"/>
          <w:color w:val="000000"/>
        </w:rPr>
        <w:t>, and HighCO</w:t>
      </w:r>
      <w:r w:rsidRPr="00DB3ADB">
        <w:rPr>
          <w:rFonts w:ascii="Times" w:hAnsi="Times" w:cs="AdvPTimes"/>
          <w:color w:val="000000"/>
          <w:vertAlign w:val="subscript"/>
        </w:rPr>
        <w:t>2</w:t>
      </w:r>
      <w:r w:rsidRPr="00086257">
        <w:rPr>
          <w:rFonts w:ascii="Times" w:hAnsi="Times" w:cs="AdvPTimes"/>
          <w:color w:val="000000"/>
        </w:rPr>
        <w:t>. Set-point pH levels were determined with the program CO</w:t>
      </w:r>
      <w:r w:rsidRPr="00DB3ADB">
        <w:rPr>
          <w:rFonts w:ascii="Times" w:hAnsi="Times" w:cs="AdvPTimes"/>
          <w:color w:val="000000"/>
          <w:vertAlign w:val="subscript"/>
        </w:rPr>
        <w:t>2</w:t>
      </w:r>
      <w:r w:rsidRPr="00086257">
        <w:rPr>
          <w:rFonts w:ascii="Times" w:hAnsi="Times" w:cs="AdvPTimes"/>
          <w:color w:val="000000"/>
        </w:rPr>
        <w:t xml:space="preserve">SYS (Robbins et al. </w:t>
      </w:r>
      <w:r w:rsidRPr="00086257">
        <w:rPr>
          <w:rFonts w:ascii="Times" w:hAnsi="Times" w:cs="AdvPTimes"/>
          <w:color w:val="0000FF"/>
        </w:rPr>
        <w:t>2010</w:t>
      </w:r>
      <w:r w:rsidRPr="00086257">
        <w:rPr>
          <w:rFonts w:ascii="Times" w:hAnsi="Times" w:cs="AdvPTimes"/>
          <w:color w:val="000000"/>
        </w:rPr>
        <w:t>) using an ave</w:t>
      </w:r>
      <w:r w:rsidR="00DB3ADB">
        <w:rPr>
          <w:rFonts w:ascii="Times" w:hAnsi="Times" w:cs="AdvPTimes"/>
          <w:color w:val="000000"/>
        </w:rPr>
        <w:t>rage total alkalinity of 2,060 μ</w:t>
      </w:r>
      <w:r w:rsidRPr="00086257">
        <w:rPr>
          <w:rFonts w:ascii="Times" w:hAnsi="Times" w:cs="AdvPTimes"/>
          <w:color w:val="000000"/>
        </w:rPr>
        <w:t>mol kg</w:t>
      </w:r>
      <w:r w:rsidRPr="00DB3ADB">
        <w:rPr>
          <w:rFonts w:ascii="Times" w:hAnsi="Times" w:cs="AdvPTimes"/>
          <w:color w:val="000000"/>
          <w:vertAlign w:val="superscript"/>
        </w:rPr>
        <w:t>-1</w:t>
      </w:r>
      <w:r w:rsidRPr="00086257">
        <w:rPr>
          <w:rFonts w:ascii="Times" w:hAnsi="Times" w:cs="AdvPTimes"/>
          <w:color w:val="000000"/>
        </w:rPr>
        <w:t xml:space="preserve"> based on total alkalinity measurements taken the week prior to the experimental trial.</w:t>
      </w:r>
    </w:p>
    <w:p w14:paraId="6B6E81C5" w14:textId="777777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 xml:space="preserve">Larval </w:t>
      </w:r>
      <w:r w:rsidRPr="00DB3ADB">
        <w:rPr>
          <w:rFonts w:ascii="Times" w:hAnsi="Times" w:cs="AdvPTimes"/>
          <w:i/>
          <w:color w:val="000000"/>
        </w:rPr>
        <w:t>C. gigas</w:t>
      </w:r>
      <w:r w:rsidRPr="00086257">
        <w:rPr>
          <w:rFonts w:ascii="Times" w:hAnsi="Times" w:cs="AdvPTimes"/>
          <w:color w:val="000000"/>
        </w:rPr>
        <w:t xml:space="preserve"> were held in 3-L microcosms within a large reservoir filled with the respective treatment water. Ambient air stripped of CO</w:t>
      </w:r>
      <w:r w:rsidRPr="00DB3ADB">
        <w:rPr>
          <w:rFonts w:ascii="Times" w:hAnsi="Times" w:cs="AdvPTimes"/>
          <w:color w:val="000000"/>
          <w:vertAlign w:val="subscript"/>
        </w:rPr>
        <w:t>2</w:t>
      </w:r>
      <w:r w:rsidRPr="00086257">
        <w:rPr>
          <w:rFonts w:ascii="Times" w:hAnsi="Times" w:cs="AdvPTimes"/>
          <w:color w:val="000000"/>
        </w:rPr>
        <w:t xml:space="preserve"> by a CO</w:t>
      </w:r>
      <w:r w:rsidRPr="00DB3ADB">
        <w:rPr>
          <w:rFonts w:ascii="Times" w:hAnsi="Times" w:cs="AdvPTimes"/>
          <w:color w:val="000000"/>
          <w:vertAlign w:val="subscript"/>
        </w:rPr>
        <w:t>2</w:t>
      </w:r>
      <w:r w:rsidRPr="00086257">
        <w:rPr>
          <w:rFonts w:ascii="Times" w:hAnsi="Times" w:cs="AdvPTimes"/>
          <w:color w:val="000000"/>
        </w:rPr>
        <w:t xml:space="preserve"> adsorption unit (Twin Tower Engineering, Broomfield, Colorado, USA) was used to aerate the seawater within the reservoirs through a Venturi injector into the larger reservoir of treatment water. This replaced oxygen lost through the degassing process. </w:t>
      </w:r>
      <w:proofErr w:type="gramStart"/>
      <w:r w:rsidRPr="00086257">
        <w:rPr>
          <w:rFonts w:ascii="Times" w:hAnsi="Times" w:cs="AdvPTimes"/>
          <w:color w:val="000000"/>
        </w:rPr>
        <w:t>Reservoir pH was continuously monitored by a Durafet III pH probe</w:t>
      </w:r>
      <w:proofErr w:type="gramEnd"/>
      <w:r w:rsidRPr="00086257">
        <w:rPr>
          <w:rFonts w:ascii="Times" w:hAnsi="Times" w:cs="AdvPTimes"/>
          <w:color w:val="000000"/>
        </w:rPr>
        <w:t xml:space="preserve"> (Honeywell, Morristown, New Jersey, USA). When the probe registered that the treatment’s pH strayed from its set point, a solenoid would open or close to allow more or less pure CO</w:t>
      </w:r>
      <w:r w:rsidRPr="00DB3ADB">
        <w:rPr>
          <w:rFonts w:ascii="Times" w:hAnsi="Times" w:cs="AdvPTimes"/>
          <w:color w:val="000000"/>
          <w:vertAlign w:val="subscript"/>
        </w:rPr>
        <w:t>2</w:t>
      </w:r>
      <w:r w:rsidRPr="00086257">
        <w:rPr>
          <w:rFonts w:ascii="Times" w:hAnsi="Times" w:cs="AdvPTimes"/>
          <w:color w:val="000000"/>
        </w:rPr>
        <w:t xml:space="preserve"> (Praxair, Danbury, Connecticut, USA) to be injected via the Venturi.  The Durafet probe information was fed into a Honeywell UDA2182 pH controller, which also controlled the solenoids.</w:t>
      </w:r>
    </w:p>
    <w:p w14:paraId="0975597B" w14:textId="30012300"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Seawater was pumped from the reservoir into larval microcosms through irrigation drippers (DIG Industries, Sun Valley, California, USA) at a rate of 1.9-L h</w:t>
      </w:r>
      <w:r w:rsidRPr="00DB3ADB">
        <w:rPr>
          <w:rFonts w:ascii="Times" w:hAnsi="Times" w:cs="AdvPTimes"/>
          <w:color w:val="000000"/>
          <w:vertAlign w:val="superscript"/>
        </w:rPr>
        <w:t>-1</w:t>
      </w:r>
      <w:r w:rsidRPr="00086257">
        <w:rPr>
          <w:rFonts w:ascii="Times" w:hAnsi="Times" w:cs="AdvPTimes"/>
          <w:color w:val="000000"/>
        </w:rPr>
        <w:t>. An outflow tube at the top of</w:t>
      </w:r>
      <w:r w:rsidR="00DB3ADB">
        <w:rPr>
          <w:rFonts w:ascii="Times" w:hAnsi="Times" w:cs="AdvPTimes"/>
          <w:color w:val="000000"/>
        </w:rPr>
        <w:t xml:space="preserve"> the microcosms fitted with 35-μ</w:t>
      </w:r>
      <w:r w:rsidRPr="00086257">
        <w:rPr>
          <w:rFonts w:ascii="Times" w:hAnsi="Times" w:cs="AdvPTimes"/>
          <w:color w:val="000000"/>
        </w:rPr>
        <w:t>m mesh allowed water to exit the microcosms while retaining larvae. All systems were equilibrated to the correct treatment level 48 h prior to the start of the experiment. Water temp</w:t>
      </w:r>
      <w:r w:rsidR="00DB3ADB">
        <w:rPr>
          <w:rFonts w:ascii="Times" w:hAnsi="Times" w:cs="AdvPTimes"/>
          <w:color w:val="000000"/>
        </w:rPr>
        <w:t>erature was held at 20.4 ± 0.4°</w:t>
      </w:r>
      <w:r w:rsidRPr="00086257">
        <w:rPr>
          <w:rFonts w:ascii="Times" w:hAnsi="Times" w:cs="AdvPTimes"/>
          <w:color w:val="000000"/>
        </w:rPr>
        <w:t>C.</w:t>
      </w:r>
    </w:p>
    <w:p w14:paraId="75F68159" w14:textId="77777777" w:rsidR="00E01B09" w:rsidRDefault="00E01B09" w:rsidP="00E01B09">
      <w:pPr>
        <w:pStyle w:val="Heading3"/>
      </w:pPr>
      <w:bookmarkStart w:id="18" w:name="_Toc252109983"/>
      <w:r>
        <w:t>Oysters</w:t>
      </w:r>
      <w:bookmarkEnd w:id="18"/>
    </w:p>
    <w:p w14:paraId="0CCD1FFB" w14:textId="77777777" w:rsidR="00086257" w:rsidRPr="00086257" w:rsidRDefault="00086257" w:rsidP="00426D9F">
      <w:pPr>
        <w:widowControl w:val="0"/>
        <w:autoSpaceDE w:val="0"/>
        <w:autoSpaceDN w:val="0"/>
        <w:adjustRightInd w:val="0"/>
        <w:spacing w:line="360" w:lineRule="auto"/>
        <w:ind w:firstLine="720"/>
        <w:rPr>
          <w:rFonts w:ascii="Times" w:hAnsi="Times" w:cs="AdvPTimes"/>
        </w:rPr>
      </w:pPr>
      <w:r w:rsidRPr="00086257">
        <w:rPr>
          <w:rFonts w:ascii="Times" w:hAnsi="Times" w:cs="AdvPTimes"/>
        </w:rPr>
        <w:t xml:space="preserve">Ten female and four male adult </w:t>
      </w:r>
      <w:r w:rsidRPr="00DB3ADB">
        <w:rPr>
          <w:rFonts w:ascii="Times" w:hAnsi="Times" w:cs="AdvPTimes"/>
          <w:i/>
        </w:rPr>
        <w:t>C. gigas</w:t>
      </w:r>
      <w:r w:rsidRPr="00086257">
        <w:rPr>
          <w:rFonts w:ascii="Times" w:hAnsi="Times" w:cs="AdvPTimes"/>
        </w:rPr>
        <w:t xml:space="preserve"> were collected from Argyle Creek in Friday Harbor, Washington, in July 2011. Oysters were strip-spawned into </w:t>
      </w:r>
      <w:proofErr w:type="gramStart"/>
      <w:r w:rsidRPr="00086257">
        <w:rPr>
          <w:rFonts w:ascii="Times" w:hAnsi="Times" w:cs="AdvPTimes"/>
        </w:rPr>
        <w:t>Ambient</w:t>
      </w:r>
      <w:proofErr w:type="gramEnd"/>
      <w:r w:rsidRPr="00086257">
        <w:rPr>
          <w:rFonts w:ascii="Times" w:hAnsi="Times" w:cs="AdvPTimes"/>
        </w:rPr>
        <w:t xml:space="preserve"> seawater with eggs and sperm pooled separately (day 0). Pooled eggs (approximately 2 million) were divided equally into 18 7.5-cm diameter containers. Sperm was diluted (so as to approximate a 1:1 sperm/egg ratio) in Ambient seawater and added to each container of eggs. After the addition of </w:t>
      </w:r>
      <w:r w:rsidRPr="00086257">
        <w:rPr>
          <w:rFonts w:ascii="Times" w:hAnsi="Times" w:cs="AdvPTimes"/>
          <w:color w:val="000000"/>
        </w:rPr>
        <w:t>sperm, the eggs were gently agitated and incubated for</w:t>
      </w:r>
      <w:r w:rsidRPr="00086257">
        <w:rPr>
          <w:rFonts w:ascii="Times" w:hAnsi="Times" w:cs="AdvPTimes"/>
        </w:rPr>
        <w:t xml:space="preserve"> </w:t>
      </w:r>
      <w:r w:rsidRPr="00086257">
        <w:rPr>
          <w:rFonts w:ascii="Times" w:hAnsi="Times" w:cs="AdvPTimes"/>
          <w:color w:val="000000"/>
        </w:rPr>
        <w:t>15 min to allow for fertilization.</w:t>
      </w:r>
    </w:p>
    <w:p w14:paraId="1470F2B9" w14:textId="274093CF"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Six containers of fertilized eggs were transferred to microcosms containing one of three treatment conditions. Initial densities post-hatching were approximately 1 larva mL</w:t>
      </w:r>
      <w:r w:rsidRPr="00DB3ADB">
        <w:rPr>
          <w:rFonts w:ascii="Times" w:hAnsi="Times" w:cs="AdvPTimes"/>
          <w:color w:val="000000"/>
          <w:vertAlign w:val="superscript"/>
        </w:rPr>
        <w:t>-1</w:t>
      </w:r>
      <w:r w:rsidRPr="00086257">
        <w:rPr>
          <w:rFonts w:ascii="Times" w:hAnsi="Times" w:cs="AdvPTimes"/>
          <w:color w:val="000000"/>
        </w:rPr>
        <w:t>. On days 1 and 3 post-fertilization, larvae were randomly sampled to determine survival, size, developmental</w:t>
      </w:r>
      <w:r w:rsidR="00DB3ADB">
        <w:rPr>
          <w:rFonts w:ascii="Times" w:hAnsi="Times" w:cs="AdvPTimes"/>
          <w:color w:val="000000"/>
        </w:rPr>
        <w:t xml:space="preserve"> </w:t>
      </w:r>
      <w:r w:rsidRPr="00086257">
        <w:rPr>
          <w:rFonts w:ascii="Times" w:hAnsi="Times" w:cs="AdvPTimes"/>
          <w:color w:val="000000"/>
        </w:rPr>
        <w:t>stage, and presence or absence of calcification. For each microcosm sampled</w:t>
      </w:r>
      <w:r w:rsidR="00DB3ADB">
        <w:rPr>
          <w:rFonts w:ascii="Times" w:hAnsi="Times" w:cs="AdvPTimes"/>
          <w:color w:val="000000"/>
        </w:rPr>
        <w:t>, larvae were filtered onto 35-μ</w:t>
      </w:r>
      <w:r w:rsidRPr="00086257">
        <w:rPr>
          <w:rFonts w:ascii="Times" w:hAnsi="Times" w:cs="AdvPTimes"/>
          <w:color w:val="000000"/>
        </w:rPr>
        <w:t>m mesh screens and washed with the appropriate seawater.  Approximately 100 larvae were removed for each sample, relaxed with 7.5 % MgCl</w:t>
      </w:r>
      <w:r w:rsidRPr="00DB3ADB">
        <w:rPr>
          <w:rFonts w:ascii="Times" w:hAnsi="Times" w:cs="AdvPTimes"/>
          <w:color w:val="000000"/>
          <w:vertAlign w:val="subscript"/>
        </w:rPr>
        <w:t>2</w:t>
      </w:r>
      <w:r w:rsidR="00DB3ADB">
        <w:rPr>
          <w:rFonts w:ascii="Times" w:hAnsi="Times" w:cs="AdvPTimes"/>
          <w:color w:val="000000"/>
        </w:rPr>
        <w:t>, and fixed in 4</w:t>
      </w:r>
      <w:r w:rsidRPr="00086257">
        <w:rPr>
          <w:rFonts w:ascii="Times" w:hAnsi="Times" w:cs="AdvPTimes"/>
          <w:color w:val="000000"/>
        </w:rPr>
        <w:t xml:space="preserve">% paraformaldehyde buffered in filtered seawater. The remaining larvae were returned to cleaned microcosms filled with new seawater.  Larvae were fed </w:t>
      </w:r>
      <w:r w:rsidRPr="00DB3ADB">
        <w:rPr>
          <w:rFonts w:ascii="Times" w:hAnsi="Times" w:cs="AdvPTimes"/>
          <w:i/>
          <w:color w:val="000000"/>
        </w:rPr>
        <w:t>Dunaliellia</w:t>
      </w:r>
      <w:r w:rsidRPr="00086257">
        <w:rPr>
          <w:rFonts w:ascii="Times" w:hAnsi="Times" w:cs="AdvPTimes"/>
          <w:color w:val="000000"/>
        </w:rPr>
        <w:t xml:space="preserve"> sp. and </w:t>
      </w:r>
      <w:r w:rsidRPr="00DB3ADB">
        <w:rPr>
          <w:rFonts w:ascii="Times" w:hAnsi="Times" w:cs="AdvPTimes"/>
          <w:i/>
          <w:color w:val="000000"/>
        </w:rPr>
        <w:t>Isochrysis</w:t>
      </w:r>
      <w:r w:rsidRPr="00086257">
        <w:rPr>
          <w:rFonts w:ascii="Times" w:hAnsi="Times" w:cs="AdvPTimes"/>
          <w:color w:val="000000"/>
        </w:rPr>
        <w:t xml:space="preserve"> sp. at concentrations of 30,000 cells mL</w:t>
      </w:r>
      <w:r w:rsidRPr="00DB3ADB">
        <w:rPr>
          <w:rFonts w:ascii="Times" w:hAnsi="Times" w:cs="AdvPTimes"/>
          <w:color w:val="000000"/>
          <w:vertAlign w:val="superscript"/>
        </w:rPr>
        <w:t>-1</w:t>
      </w:r>
      <w:r w:rsidRPr="00086257">
        <w:rPr>
          <w:rFonts w:ascii="Times" w:hAnsi="Times" w:cs="AdvPTimes"/>
          <w:color w:val="000000"/>
        </w:rPr>
        <w:t xml:space="preserve"> each (concentrations for optimal larval growth) on day 2. During feeding, water flow was turned off in microcosms for 2 h. All microcosms were cleaned at each sampling event. </w:t>
      </w:r>
    </w:p>
    <w:p w14:paraId="75D48DA4" w14:textId="75900632" w:rsid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Larvae were examined using light microscopy to determine survival, size, developmental stage, and shell presence/absence. S</w:t>
      </w:r>
      <w:r w:rsidR="00DB3ADB">
        <w:rPr>
          <w:rFonts w:ascii="Times" w:hAnsi="Times" w:cs="AdvPTimes"/>
          <w:color w:val="000000"/>
        </w:rPr>
        <w:t>urvival was determined at 20–40x</w:t>
      </w:r>
      <w:r w:rsidRPr="00086257">
        <w:rPr>
          <w:rFonts w:ascii="Times" w:hAnsi="Times" w:cs="AdvPTimes"/>
          <w:color w:val="000000"/>
        </w:rPr>
        <w:t>: larvae were counted as dead if there was a complete absence of ciliary movement. Larval hinge length and s</w:t>
      </w:r>
      <w:r w:rsidR="00DB3ADB">
        <w:rPr>
          <w:rFonts w:ascii="Times" w:hAnsi="Times" w:cs="AdvPTimes"/>
          <w:color w:val="000000"/>
        </w:rPr>
        <w:t>hell height were measured at 10x</w:t>
      </w:r>
      <w:r w:rsidRPr="00086257">
        <w:rPr>
          <w:rFonts w:ascii="Times" w:hAnsi="Times" w:cs="AdvPTimes"/>
          <w:color w:val="000000"/>
        </w:rPr>
        <w:t xml:space="preserve"> magnification </w:t>
      </w:r>
      <w:proofErr w:type="gramStart"/>
      <w:r w:rsidRPr="00086257">
        <w:rPr>
          <w:rFonts w:ascii="Times" w:hAnsi="Times" w:cs="AdvPTimes"/>
          <w:color w:val="000000"/>
        </w:rPr>
        <w:t>with a Nikon Eclipse E600 and NIS Elements Basic Research software</w:t>
      </w:r>
      <w:proofErr w:type="gramEnd"/>
      <w:r w:rsidR="00DB3ADB">
        <w:rPr>
          <w:rFonts w:ascii="Times" w:hAnsi="Times" w:cs="AdvPTimes"/>
          <w:color w:val="000000"/>
        </w:rPr>
        <w:t xml:space="preserve"> </w:t>
      </w:r>
      <w:r w:rsidRPr="00086257">
        <w:rPr>
          <w:rFonts w:ascii="Times" w:hAnsi="Times" w:cs="AdvPTimes"/>
          <w:color w:val="000000"/>
        </w:rPr>
        <w:t>(Nikon, Tokyo, Japan). Larval developmental stage and shell</w:t>
      </w:r>
      <w:r w:rsidR="00DB3ADB">
        <w:rPr>
          <w:rFonts w:ascii="Times" w:hAnsi="Times" w:cs="AdvPTimes"/>
          <w:color w:val="000000"/>
        </w:rPr>
        <w:t xml:space="preserve"> presence were determined at 20x</w:t>
      </w:r>
      <w:r w:rsidRPr="00086257">
        <w:rPr>
          <w:rFonts w:ascii="Times" w:hAnsi="Times" w:cs="AdvPTimes"/>
          <w:color w:val="000000"/>
        </w:rPr>
        <w:t xml:space="preserve"> magnification using an inverted microscope and double polarized light. Larvae were scored as calcified on day 1 post-fertilization if calcified shell was observed at the hinge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a). On day 3 post-fertilization, larvae were classified as fully calcified if polarized light produced a ‘‘Maltese cross’’ in the larval shell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b; LaBarbera </w:t>
      </w:r>
      <w:r w:rsidRPr="00086257">
        <w:rPr>
          <w:rFonts w:ascii="Times" w:hAnsi="Times" w:cs="AdvPTimes"/>
          <w:color w:val="0000FF"/>
        </w:rPr>
        <w:t>1974</w:t>
      </w:r>
      <w:r w:rsidRPr="00086257">
        <w:rPr>
          <w:rFonts w:ascii="Times" w:hAnsi="Times" w:cs="AdvPTimes"/>
          <w:color w:val="000000"/>
        </w:rPr>
        <w:t>).</w:t>
      </w:r>
    </w:p>
    <w:p w14:paraId="55B7C79E" w14:textId="56C68967" w:rsidR="0059047D" w:rsidRDefault="0059047D" w:rsidP="00DB3ADB">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19920BDD" wp14:editId="12DDCFCA">
            <wp:extent cx="3480816" cy="1536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olor.jpg"/>
                    <pic:cNvPicPr/>
                  </pic:nvPicPr>
                  <pic:blipFill>
                    <a:blip r:embed="rId7">
                      <a:extLst>
                        <a:ext uri="{28A0092B-C50C-407E-A947-70E740481C1C}">
                          <a14:useLocalDpi xmlns:a14="http://schemas.microsoft.com/office/drawing/2010/main" val="0"/>
                        </a:ext>
                      </a:extLst>
                    </a:blip>
                    <a:stretch>
                      <a:fillRect/>
                    </a:stretch>
                  </pic:blipFill>
                  <pic:spPr>
                    <a:xfrm>
                      <a:off x="0" y="0"/>
                      <a:ext cx="3480816" cy="1536192"/>
                    </a:xfrm>
                    <a:prstGeom prst="rect">
                      <a:avLst/>
                    </a:prstGeom>
                  </pic:spPr>
                </pic:pic>
              </a:graphicData>
            </a:graphic>
          </wp:inline>
        </w:drawing>
      </w:r>
    </w:p>
    <w:p w14:paraId="62793C31" w14:textId="43F0D47D" w:rsidR="0059047D" w:rsidRPr="00086257"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1. </w:t>
      </w:r>
      <w:proofErr w:type="gramStart"/>
      <w:r>
        <w:rPr>
          <w:rFonts w:ascii="Times" w:hAnsi="Times" w:cs="AdvPTimes"/>
          <w:color w:val="000000"/>
        </w:rPr>
        <w:t>D-hinge larvae under polarized light portraying calcification at the hinge without a Maltese cross in the shell (a) and full calcification as evidenced by the Maltese cross (b).</w:t>
      </w:r>
      <w:proofErr w:type="gramEnd"/>
    </w:p>
    <w:p w14:paraId="764ABEFE" w14:textId="77777777" w:rsidR="00E01B09" w:rsidRDefault="00E01B09" w:rsidP="00E01B09">
      <w:pPr>
        <w:pStyle w:val="Heading3"/>
      </w:pPr>
      <w:bookmarkStart w:id="19" w:name="_Toc252109984"/>
      <w:r>
        <w:t>Carbonate chemistry</w:t>
      </w:r>
      <w:bookmarkEnd w:id="19"/>
    </w:p>
    <w:p w14:paraId="3DBD259B" w14:textId="5A4338C8" w:rsidR="00650BE8" w:rsidRPr="00650BE8" w:rsidRDefault="00C44DB0"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Salinity was measured with a conductivity meter (Hach</w:t>
      </w:r>
      <w:r w:rsidR="00650BE8" w:rsidRPr="00650BE8">
        <w:rPr>
          <w:rFonts w:ascii="Times" w:hAnsi="Times" w:cs="AdvPTimes"/>
          <w:color w:val="000000"/>
        </w:rPr>
        <w:t xml:space="preserve"> </w:t>
      </w:r>
      <w:r w:rsidRPr="00650BE8">
        <w:rPr>
          <w:rFonts w:ascii="Times" w:hAnsi="Times" w:cs="AdvPTimes"/>
          <w:color w:val="000000"/>
        </w:rPr>
        <w:t>sensION5; Loveland, Colorado, USA), and temperature</w:t>
      </w:r>
      <w:r w:rsidR="00650BE8" w:rsidRPr="00650BE8">
        <w:rPr>
          <w:rFonts w:ascii="Times" w:hAnsi="Times" w:cs="AdvPTimes"/>
          <w:color w:val="000000"/>
        </w:rPr>
        <w:t xml:space="preserve"> </w:t>
      </w:r>
      <w:r w:rsidRPr="00650BE8">
        <w:rPr>
          <w:rFonts w:ascii="Times" w:hAnsi="Times" w:cs="AdvPTimes"/>
          <w:color w:val="000000"/>
        </w:rPr>
        <w:t>was measured using a Fluke 1523 thermometer (Fluke,</w:t>
      </w:r>
      <w:r w:rsidR="00650BE8" w:rsidRPr="00650BE8">
        <w:rPr>
          <w:rFonts w:ascii="Times" w:hAnsi="Times" w:cs="AdvPTimes"/>
          <w:color w:val="000000"/>
        </w:rPr>
        <w:t xml:space="preserve"> </w:t>
      </w:r>
      <w:r w:rsidRPr="00650BE8">
        <w:rPr>
          <w:rFonts w:ascii="Times" w:hAnsi="Times" w:cs="AdvPTimes"/>
          <w:color w:val="000000"/>
        </w:rPr>
        <w:t>Everett, Washington, USA). Seawater pH entering the</w:t>
      </w:r>
      <w:r w:rsidR="00650BE8" w:rsidRPr="00650BE8">
        <w:rPr>
          <w:rFonts w:ascii="Times" w:hAnsi="Times" w:cs="AdvPTimes"/>
          <w:color w:val="000000"/>
        </w:rPr>
        <w:t xml:space="preserve"> </w:t>
      </w:r>
      <w:r w:rsidRPr="00650BE8">
        <w:rPr>
          <w:rFonts w:ascii="Times" w:hAnsi="Times" w:cs="AdvPTimes"/>
          <w:color w:val="000000"/>
        </w:rPr>
        <w:t>microcosms was measured daily using the spectrophotometric technique outlined in SOP 6b by Dickson</w:t>
      </w:r>
      <w:r w:rsidR="00650BE8" w:rsidRPr="00650BE8">
        <w:rPr>
          <w:rFonts w:ascii="Times" w:hAnsi="Times" w:cs="AdvPTimes"/>
          <w:color w:val="000000"/>
        </w:rPr>
        <w:t xml:space="preserve"> </w:t>
      </w:r>
      <w:r w:rsidRPr="00650BE8">
        <w:rPr>
          <w:rFonts w:ascii="Times" w:hAnsi="Times" w:cs="AdvPTimes"/>
          <w:color w:val="000000"/>
        </w:rPr>
        <w:t>et al. (</w:t>
      </w:r>
      <w:r w:rsidRPr="00650BE8">
        <w:rPr>
          <w:rFonts w:ascii="Times" w:hAnsi="Times" w:cs="AdvPTimes"/>
          <w:color w:val="0000FF"/>
        </w:rPr>
        <w:t>2007</w:t>
      </w:r>
      <w:r w:rsidRPr="00650BE8">
        <w:rPr>
          <w:rFonts w:ascii="Times" w:hAnsi="Times" w:cs="AdvPTimes"/>
          <w:color w:val="000000"/>
        </w:rPr>
        <w:t>) to confirm pH measurements from the Durafet</w:t>
      </w:r>
      <w:r w:rsidR="00650BE8" w:rsidRPr="00650BE8">
        <w:rPr>
          <w:rFonts w:ascii="Times" w:hAnsi="Times" w:cs="AdvPTimes"/>
          <w:color w:val="000000"/>
        </w:rPr>
        <w:t xml:space="preserve"> </w:t>
      </w:r>
      <w:r w:rsidRPr="00650BE8">
        <w:rPr>
          <w:rFonts w:ascii="Times" w:hAnsi="Times" w:cs="AdvPTimes"/>
          <w:color w:val="000000"/>
        </w:rPr>
        <w:t>probe. When any discrepancies were observed, the Durafet</w:t>
      </w:r>
      <w:r w:rsidR="00650BE8" w:rsidRPr="00650BE8">
        <w:rPr>
          <w:rFonts w:ascii="Times" w:hAnsi="Times" w:cs="AdvPTimes"/>
          <w:color w:val="000000"/>
        </w:rPr>
        <w:t xml:space="preserve"> </w:t>
      </w:r>
      <w:r w:rsidRPr="00650BE8">
        <w:rPr>
          <w:rFonts w:ascii="Times" w:hAnsi="Times" w:cs="AdvPTimes"/>
          <w:color w:val="000000"/>
        </w:rPr>
        <w:t>probe was recalibrated. Seawater pH measurements were</w:t>
      </w:r>
      <w:r w:rsidR="00650BE8" w:rsidRPr="00650BE8">
        <w:rPr>
          <w:rFonts w:ascii="Times" w:hAnsi="Times" w:cs="AdvPTimes"/>
          <w:color w:val="000000"/>
        </w:rPr>
        <w:t xml:space="preserve"> </w:t>
      </w:r>
      <w:r w:rsidRPr="00650BE8">
        <w:rPr>
          <w:rFonts w:ascii="Times" w:hAnsi="Times" w:cs="AdvPTimes"/>
          <w:color w:val="000000"/>
        </w:rPr>
        <w:t>taken from two microcosms per treatment on days 0, 1, and</w:t>
      </w:r>
      <w:r w:rsidR="00650BE8" w:rsidRPr="00650BE8">
        <w:rPr>
          <w:rFonts w:ascii="Times" w:hAnsi="Times" w:cs="AdvPTimes"/>
          <w:color w:val="000000"/>
        </w:rPr>
        <w:t xml:space="preserve"> </w:t>
      </w:r>
      <w:r w:rsidRPr="00650BE8">
        <w:rPr>
          <w:rFonts w:ascii="Times" w:hAnsi="Times" w:cs="AdvPTimes"/>
          <w:color w:val="000000"/>
        </w:rPr>
        <w:t>3. Final pH values reported here have been corrected for</w:t>
      </w:r>
      <w:r w:rsidR="00650BE8" w:rsidRPr="00650BE8">
        <w:rPr>
          <w:rFonts w:ascii="Times" w:hAnsi="Times" w:cs="AdvPTimes"/>
          <w:color w:val="000000"/>
        </w:rPr>
        <w:t xml:space="preserve"> </w:t>
      </w:r>
      <w:r w:rsidRPr="00650BE8">
        <w:rPr>
          <w:rFonts w:ascii="Times" w:hAnsi="Times" w:cs="AdvPTimes"/>
          <w:color w:val="000000"/>
        </w:rPr>
        <w:t>dye addition and temperature. Total alkalinity (A</w:t>
      </w:r>
      <w:r w:rsidRPr="00DB3ADB">
        <w:rPr>
          <w:rFonts w:ascii="Times" w:hAnsi="Times" w:cs="AdvPTimes"/>
          <w:color w:val="000000"/>
          <w:vertAlign w:val="subscript"/>
        </w:rPr>
        <w:t>T</w:t>
      </w:r>
      <w:r w:rsidRPr="00650BE8">
        <w:rPr>
          <w:rFonts w:ascii="Times" w:hAnsi="Times" w:cs="AdvPTimes"/>
          <w:color w:val="000000"/>
        </w:rPr>
        <w:t>) was</w:t>
      </w:r>
      <w:r w:rsidR="00650BE8" w:rsidRPr="00650BE8">
        <w:rPr>
          <w:rFonts w:ascii="Times" w:hAnsi="Times" w:cs="AdvPTimes"/>
          <w:color w:val="000000"/>
        </w:rPr>
        <w:t xml:space="preserve"> </w:t>
      </w:r>
      <w:r w:rsidRPr="00650BE8">
        <w:rPr>
          <w:rFonts w:ascii="Times" w:hAnsi="Times" w:cs="AdvPTimes"/>
          <w:color w:val="000000"/>
        </w:rPr>
        <w:t>measured following the open cell titration of SOP 3b</w:t>
      </w:r>
      <w:r w:rsidR="00650BE8" w:rsidRPr="00650BE8">
        <w:rPr>
          <w:rFonts w:ascii="Times" w:hAnsi="Times" w:cs="AdvPTimes"/>
          <w:color w:val="000000"/>
        </w:rPr>
        <w:t xml:space="preserve"> </w:t>
      </w:r>
      <w:r w:rsidRPr="00650BE8">
        <w:rPr>
          <w:rFonts w:ascii="Times" w:hAnsi="Times" w:cs="AdvPTimes"/>
          <w:color w:val="000000"/>
        </w:rPr>
        <w:t xml:space="preserve">(Dickson et al. </w:t>
      </w:r>
      <w:r w:rsidRPr="00650BE8">
        <w:rPr>
          <w:rFonts w:ascii="Times" w:hAnsi="Times" w:cs="AdvPTimes"/>
          <w:color w:val="0000FF"/>
        </w:rPr>
        <w:t>2007</w:t>
      </w:r>
      <w:r w:rsidRPr="00650BE8">
        <w:rPr>
          <w:rFonts w:ascii="Times" w:hAnsi="Times" w:cs="AdvPTimes"/>
          <w:color w:val="000000"/>
        </w:rPr>
        <w:t>). Samples for A</w:t>
      </w:r>
      <w:r w:rsidRPr="00DB3ADB">
        <w:rPr>
          <w:rFonts w:ascii="Times" w:hAnsi="Times" w:cs="AdvPTimes"/>
          <w:color w:val="000000"/>
          <w:vertAlign w:val="subscript"/>
        </w:rPr>
        <w:t>T</w:t>
      </w:r>
      <w:r w:rsidRPr="00650BE8">
        <w:rPr>
          <w:rFonts w:ascii="Times" w:hAnsi="Times" w:cs="AdvPTimes"/>
          <w:color w:val="000000"/>
        </w:rPr>
        <w:t xml:space="preserve"> were taken from</w:t>
      </w:r>
      <w:r w:rsidR="00650BE8" w:rsidRPr="00650BE8">
        <w:rPr>
          <w:rFonts w:ascii="Times" w:hAnsi="Times" w:cs="AdvPTimes"/>
          <w:color w:val="000000"/>
        </w:rPr>
        <w:t xml:space="preserve"> </w:t>
      </w:r>
      <w:r w:rsidRPr="00650BE8">
        <w:rPr>
          <w:rFonts w:ascii="Times" w:hAnsi="Times" w:cs="AdvPTimes"/>
          <w:color w:val="000000"/>
        </w:rPr>
        <w:t>incoming water and from two microcosms in each treatment</w:t>
      </w:r>
      <w:r w:rsidR="00650BE8" w:rsidRPr="00650BE8">
        <w:rPr>
          <w:rFonts w:ascii="Times" w:hAnsi="Times" w:cs="AdvPTimes"/>
          <w:color w:val="000000"/>
        </w:rPr>
        <w:t xml:space="preserve"> </w:t>
      </w:r>
      <w:r w:rsidRPr="00650BE8">
        <w:rPr>
          <w:rFonts w:ascii="Times" w:hAnsi="Times" w:cs="AdvPTimes"/>
          <w:color w:val="000000"/>
        </w:rPr>
        <w:t>on days 0, 2, and 3. CO</w:t>
      </w:r>
      <w:r w:rsidRPr="00DB3ADB">
        <w:rPr>
          <w:rFonts w:ascii="Times" w:hAnsi="Times" w:cs="AdvPTimes"/>
          <w:color w:val="000000"/>
          <w:vertAlign w:val="subscript"/>
        </w:rPr>
        <w:t>2</w:t>
      </w:r>
      <w:r w:rsidRPr="00650BE8">
        <w:rPr>
          <w:rFonts w:ascii="Times" w:hAnsi="Times" w:cs="AdvPTimes"/>
          <w:color w:val="000000"/>
        </w:rPr>
        <w:t xml:space="preserve">SYS (Robbins et al. </w:t>
      </w:r>
      <w:r w:rsidRPr="00650BE8">
        <w:rPr>
          <w:rFonts w:ascii="Times" w:hAnsi="Times" w:cs="AdvPTimes"/>
          <w:color w:val="0000FF"/>
        </w:rPr>
        <w:t>2010</w:t>
      </w:r>
      <w:r w:rsidRPr="00650BE8">
        <w:rPr>
          <w:rFonts w:ascii="Times" w:hAnsi="Times" w:cs="AdvPTimes"/>
          <w:color w:val="000000"/>
        </w:rPr>
        <w:t>)</w:t>
      </w:r>
      <w:r w:rsidR="00650BE8" w:rsidRPr="00650BE8">
        <w:rPr>
          <w:rFonts w:ascii="Times" w:hAnsi="Times" w:cs="AdvPTimes"/>
          <w:color w:val="000000"/>
        </w:rPr>
        <w:t xml:space="preserve"> was used to calculate calci</w:t>
      </w:r>
      <w:r w:rsidR="00DB3ADB">
        <w:rPr>
          <w:rFonts w:ascii="Times" w:hAnsi="Times" w:cs="AdvPTimes"/>
          <w:color w:val="000000"/>
        </w:rPr>
        <w:t>um carbonate saturation state (Ω</w:t>
      </w:r>
      <w:r w:rsidR="00650BE8" w:rsidRPr="00650BE8">
        <w:rPr>
          <w:rFonts w:ascii="Times" w:hAnsi="Times" w:cs="AdvPTimes"/>
          <w:color w:val="000000"/>
        </w:rPr>
        <w:t xml:space="preserve">) of aragonite and calcite, carbonate ion concentration, and </w:t>
      </w:r>
      <w:r w:rsidR="00650BE8" w:rsidRPr="00DB3ADB">
        <w:rPr>
          <w:rFonts w:ascii="Times" w:hAnsi="Times" w:cs="AdvPTimes"/>
          <w:i/>
          <w:color w:val="000000"/>
        </w:rPr>
        <w:t>p</w:t>
      </w:r>
      <w:r w:rsidR="00650BE8" w:rsidRPr="00650BE8">
        <w:rPr>
          <w:rFonts w:ascii="Times" w:hAnsi="Times" w:cs="AdvPTimes"/>
          <w:color w:val="000000"/>
        </w:rPr>
        <w:t>CO</w:t>
      </w:r>
      <w:r w:rsidR="00650BE8" w:rsidRPr="00DB3ADB">
        <w:rPr>
          <w:rFonts w:ascii="Times" w:hAnsi="Times" w:cs="AdvPTimes"/>
          <w:color w:val="000000"/>
          <w:vertAlign w:val="subscript"/>
        </w:rPr>
        <w:t>2</w:t>
      </w:r>
      <w:r w:rsidR="00650BE8" w:rsidRPr="00650BE8">
        <w:rPr>
          <w:rFonts w:ascii="Times" w:hAnsi="Times" w:cs="AdvPTimes"/>
          <w:color w:val="000000"/>
        </w:rPr>
        <w:t xml:space="preserve"> with A</w:t>
      </w:r>
      <w:r w:rsidR="00650BE8" w:rsidRPr="00DB3ADB">
        <w:rPr>
          <w:rFonts w:ascii="Times" w:hAnsi="Times" w:cs="AdvPTimes"/>
          <w:color w:val="000000"/>
          <w:vertAlign w:val="subscript"/>
        </w:rPr>
        <w:t>T</w:t>
      </w:r>
      <w:r w:rsidR="00650BE8" w:rsidRPr="00650BE8">
        <w:rPr>
          <w:rFonts w:ascii="Times" w:hAnsi="Times" w:cs="AdvPTimes"/>
          <w:color w:val="000000"/>
        </w:rPr>
        <w:t xml:space="preserve"> and pH as inputs using the following constants: Lueker et al. (</w:t>
      </w:r>
      <w:r w:rsidR="00650BE8" w:rsidRPr="00650BE8">
        <w:rPr>
          <w:rFonts w:ascii="Times" w:hAnsi="Times" w:cs="AdvPTimes"/>
          <w:color w:val="0000FF"/>
        </w:rPr>
        <w:t>2000</w:t>
      </w:r>
      <w:r w:rsidR="00650BE8" w:rsidRPr="00650BE8">
        <w:rPr>
          <w:rFonts w:ascii="Times" w:hAnsi="Times" w:cs="AdvPTimes"/>
          <w:color w:val="000000"/>
        </w:rPr>
        <w:t>) for CO</w:t>
      </w:r>
      <w:r w:rsidR="00650BE8" w:rsidRPr="00DB3ADB">
        <w:rPr>
          <w:rFonts w:ascii="Times" w:hAnsi="Times" w:cs="AdvPTimes"/>
          <w:color w:val="000000"/>
          <w:vertAlign w:val="subscript"/>
        </w:rPr>
        <w:t>2</w:t>
      </w:r>
      <w:r w:rsidR="00650BE8" w:rsidRPr="00650BE8">
        <w:rPr>
          <w:rFonts w:ascii="Times" w:hAnsi="Times" w:cs="AdvPTimes"/>
          <w:color w:val="000000"/>
        </w:rPr>
        <w:t xml:space="preserve"> constants; Dickson (</w:t>
      </w:r>
      <w:r w:rsidR="00650BE8" w:rsidRPr="00650BE8">
        <w:rPr>
          <w:rFonts w:ascii="Times" w:hAnsi="Times" w:cs="AdvPTimes"/>
          <w:color w:val="0000FF"/>
        </w:rPr>
        <w:t>1990</w:t>
      </w:r>
      <w:r w:rsidR="00650BE8" w:rsidRPr="00650BE8">
        <w:rPr>
          <w:rFonts w:ascii="Times" w:hAnsi="Times" w:cs="AdvPTimes"/>
          <w:color w:val="000000"/>
        </w:rPr>
        <w:t>) for KHSO</w:t>
      </w:r>
      <w:r w:rsidR="00650BE8" w:rsidRPr="00DB3ADB">
        <w:rPr>
          <w:rFonts w:ascii="Times" w:hAnsi="Times" w:cs="AdvPTimes"/>
          <w:color w:val="000000"/>
          <w:vertAlign w:val="subscript"/>
        </w:rPr>
        <w:t>4</w:t>
      </w:r>
      <w:r w:rsidR="00650BE8" w:rsidRPr="00650BE8">
        <w:rPr>
          <w:rFonts w:ascii="Times" w:hAnsi="Times" w:cs="AdvPTimes"/>
          <w:color w:val="000000"/>
        </w:rPr>
        <w:t>, total scale (mol kg</w:t>
      </w:r>
      <w:r w:rsidR="00650BE8" w:rsidRPr="00DB3ADB">
        <w:rPr>
          <w:rFonts w:ascii="Times" w:hAnsi="Times" w:cs="AdvPTimes"/>
          <w:color w:val="000000"/>
          <w:vertAlign w:val="superscript"/>
        </w:rPr>
        <w:t>-1</w:t>
      </w:r>
      <w:r w:rsidR="00650BE8" w:rsidRPr="00650BE8">
        <w:rPr>
          <w:rFonts w:ascii="Times" w:hAnsi="Times" w:cs="AdvPTimes"/>
          <w:color w:val="000000"/>
        </w:rPr>
        <w:t xml:space="preserve"> SW) for pH scale; and Wanninkhof (</w:t>
      </w:r>
      <w:r w:rsidR="00650BE8" w:rsidRPr="00650BE8">
        <w:rPr>
          <w:rFonts w:ascii="Times" w:hAnsi="Times" w:cs="AdvPTimes"/>
          <w:color w:val="0000FF"/>
        </w:rPr>
        <w:t>1992</w:t>
      </w:r>
      <w:r w:rsidR="00650BE8" w:rsidRPr="00650BE8">
        <w:rPr>
          <w:rFonts w:ascii="Times" w:hAnsi="Times" w:cs="AdvPTimes"/>
          <w:color w:val="000000"/>
        </w:rPr>
        <w:t>) for air–sea flux.</w:t>
      </w:r>
    </w:p>
    <w:p w14:paraId="31D3241B" w14:textId="77777777" w:rsidR="00E01B09" w:rsidRDefault="00E01B09" w:rsidP="00E01B09">
      <w:pPr>
        <w:pStyle w:val="Heading3"/>
      </w:pPr>
      <w:bookmarkStart w:id="20" w:name="_Toc252109985"/>
      <w:r>
        <w:t>Statistics</w:t>
      </w:r>
      <w:bookmarkEnd w:id="20"/>
    </w:p>
    <w:p w14:paraId="0B6BECFE" w14:textId="0837999F" w:rsidR="00650BE8" w:rsidRPr="00353A53" w:rsidRDefault="00650BE8" w:rsidP="00426D9F">
      <w:pPr>
        <w:widowControl w:val="0"/>
        <w:autoSpaceDE w:val="0"/>
        <w:autoSpaceDN w:val="0"/>
        <w:adjustRightInd w:val="0"/>
        <w:spacing w:line="360" w:lineRule="auto"/>
        <w:ind w:firstLine="720"/>
        <w:rPr>
          <w:rFonts w:ascii="Times" w:hAnsi="Times" w:cs="AdvPTimes"/>
        </w:rPr>
      </w:pPr>
      <w:r w:rsidRPr="00353A53">
        <w:rPr>
          <w:rFonts w:ascii="Times" w:hAnsi="Times" w:cs="AdvPTimes"/>
        </w:rPr>
        <w:t xml:space="preserve">Differences in larval size and mortality across treatments were examined using a two-way ANOVA with fixed effects of treatment and day followed by Tukey’s Honestly Significant Difference test (Tukey’s HSD). A one-way ANOVA was also used to test for differences in larval size among treatments using the combined fixed factor of daytreatment.  Larval calcification and developmental stage were compared among treatments using a generalized linear model (GLM). Binomial error distributions were used for GLM analyses. </w:t>
      </w:r>
      <w:proofErr w:type="gramStart"/>
      <w:r w:rsidRPr="00353A53">
        <w:rPr>
          <w:rFonts w:ascii="Times" w:hAnsi="Times" w:cs="AdvPTimes"/>
        </w:rPr>
        <w:t>The occurrence of a developmental delay was assessed by fitting the regression of shell height on hinge length to a linear model and testing for differences</w:t>
      </w:r>
      <w:proofErr w:type="gramEnd"/>
    </w:p>
    <w:p w14:paraId="57E4B575" w14:textId="6B626BDF" w:rsidR="00650BE8" w:rsidRPr="00353A53" w:rsidRDefault="00650BE8" w:rsidP="00426D9F">
      <w:pPr>
        <w:widowControl w:val="0"/>
        <w:autoSpaceDE w:val="0"/>
        <w:autoSpaceDN w:val="0"/>
        <w:adjustRightInd w:val="0"/>
        <w:spacing w:line="360" w:lineRule="auto"/>
        <w:rPr>
          <w:rFonts w:ascii="Times" w:hAnsi="Times" w:cs="AdvPTimes"/>
        </w:rPr>
      </w:pPr>
      <w:proofErr w:type="gramStart"/>
      <w:r w:rsidRPr="00353A53">
        <w:rPr>
          <w:rFonts w:ascii="Times" w:hAnsi="Times" w:cs="AdvPTimes"/>
        </w:rPr>
        <w:t>in</w:t>
      </w:r>
      <w:proofErr w:type="gramEnd"/>
      <w:r w:rsidRPr="00353A53">
        <w:rPr>
          <w:rFonts w:ascii="Times" w:hAnsi="Times" w:cs="AdvPTimes"/>
        </w:rPr>
        <w:t xml:space="preserve"> the slopes of these lines across treatments. Developmental delay would be demonstrated if the larvae maintained the same allometry across treatments (the slopes of the lines were the same) but were different in size. At least two replicates within treatments and time points were used for all statistical analyses. All analyses were performed in R (R Development Core Team 2011).</w:t>
      </w:r>
    </w:p>
    <w:p w14:paraId="0C1CFEBF" w14:textId="77777777" w:rsidR="00C02D9B" w:rsidRDefault="00C02D9B" w:rsidP="00C02D9B">
      <w:pPr>
        <w:pStyle w:val="Heading2"/>
      </w:pPr>
      <w:bookmarkStart w:id="21" w:name="_Toc252109986"/>
      <w:r>
        <w:t>Results</w:t>
      </w:r>
      <w:bookmarkEnd w:id="21"/>
    </w:p>
    <w:p w14:paraId="4F659E2F" w14:textId="77777777" w:rsidR="00E01B09" w:rsidRDefault="00E01B09" w:rsidP="00E01B09">
      <w:pPr>
        <w:pStyle w:val="Heading3"/>
      </w:pPr>
      <w:bookmarkStart w:id="22" w:name="_Toc252109987"/>
      <w:r>
        <w:t>Carbonate chemistry</w:t>
      </w:r>
      <w:bookmarkEnd w:id="22"/>
    </w:p>
    <w:p w14:paraId="058B22C1" w14:textId="77777777" w:rsidR="005643FD" w:rsidRPr="005643FD" w:rsidRDefault="005643FD" w:rsidP="005643FD"/>
    <w:p w14:paraId="093B4B93" w14:textId="1CD5EB20"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Throughout the experiment, seawater pH differed across treatments and A</w:t>
      </w:r>
      <w:r w:rsidRPr="00DB3ADB">
        <w:rPr>
          <w:rFonts w:ascii="Times" w:hAnsi="Times" w:cs="AdvPTimes"/>
          <w:vertAlign w:val="subscript"/>
        </w:rPr>
        <w:t>T</w:t>
      </w:r>
      <w:r w:rsidRPr="00650BE8">
        <w:rPr>
          <w:rFonts w:ascii="Times" w:hAnsi="Times" w:cs="AdvPTimes"/>
        </w:rPr>
        <w:t xml:space="preserve"> varied slightly but to the same degree </w:t>
      </w:r>
      <w:r w:rsidRPr="00650BE8">
        <w:rPr>
          <w:rFonts w:ascii="Times" w:hAnsi="Times" w:cs="AdvPTimes"/>
          <w:color w:val="000000"/>
        </w:rPr>
        <w:t xml:space="preserve">across treatments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Mean seawater pH was consistent</w:t>
      </w:r>
      <w:r w:rsidRPr="00650BE8">
        <w:rPr>
          <w:rFonts w:ascii="Times" w:hAnsi="Times" w:cs="AdvPTimes"/>
        </w:rPr>
        <w:t xml:space="preserve"> </w:t>
      </w:r>
      <w:r w:rsidRPr="00650BE8">
        <w:rPr>
          <w:rFonts w:ascii="Times" w:hAnsi="Times" w:cs="AdvPTimes"/>
          <w:color w:val="000000"/>
        </w:rPr>
        <w:t xml:space="preserve">within but varied among treatments (Fig.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Mean</w:t>
      </w:r>
      <w:r w:rsidRPr="00650BE8">
        <w:rPr>
          <w:rFonts w:ascii="Times" w:hAnsi="Times" w:cs="AdvPTimes"/>
        </w:rPr>
        <w:t xml:space="preserve"> </w:t>
      </w:r>
      <w:r w:rsidRPr="00650BE8">
        <w:rPr>
          <w:rFonts w:ascii="Times" w:hAnsi="Times" w:cs="AdvPTimes"/>
          <w:color w:val="000000"/>
        </w:rPr>
        <w:t>pH (±standard deviation), as measured by the Durafet pH</w:t>
      </w:r>
      <w:r w:rsidRPr="00650BE8">
        <w:rPr>
          <w:rFonts w:ascii="Times" w:hAnsi="Times" w:cs="AdvPTimes"/>
        </w:rPr>
        <w:t xml:space="preserve"> </w:t>
      </w:r>
      <w:r w:rsidRPr="00650BE8">
        <w:rPr>
          <w:rFonts w:ascii="Times" w:hAnsi="Times" w:cs="AdvPTimes"/>
          <w:color w:val="000000"/>
        </w:rPr>
        <w:t xml:space="preserve">probes (Fig. </w:t>
      </w:r>
      <w:r w:rsidR="00A14DF5">
        <w:rPr>
          <w:rFonts w:ascii="Times" w:hAnsi="Times" w:cs="AdvPTimes"/>
          <w:color w:val="000000"/>
        </w:rPr>
        <w:t>I.</w:t>
      </w:r>
      <w:r w:rsidRPr="00650BE8">
        <w:rPr>
          <w:rFonts w:ascii="Times" w:hAnsi="Times" w:cs="AdvPTimes"/>
          <w:color w:val="0000FF"/>
        </w:rPr>
        <w:t>2</w:t>
      </w:r>
      <w:proofErr w:type="gramStart"/>
      <w:r w:rsidRPr="00650BE8">
        <w:rPr>
          <w:rFonts w:ascii="Times" w:hAnsi="Times" w:cs="AdvPTimes"/>
          <w:color w:val="000000"/>
        </w:rPr>
        <w:t>),</w:t>
      </w:r>
      <w:proofErr w:type="gramEnd"/>
      <w:r w:rsidRPr="00650BE8">
        <w:rPr>
          <w:rFonts w:ascii="Times" w:hAnsi="Times" w:cs="AdvPTimes"/>
          <w:color w:val="000000"/>
        </w:rPr>
        <w:t xml:space="preserve"> was 7.99 ± 0.04 in the Ambient treatment,</w:t>
      </w:r>
      <w:r w:rsidRPr="00650BE8">
        <w:rPr>
          <w:rFonts w:ascii="Times" w:hAnsi="Times" w:cs="AdvPTimes"/>
        </w:rPr>
        <w:t xml:space="preserve"> </w:t>
      </w:r>
      <w:r w:rsidRPr="00650BE8">
        <w:rPr>
          <w:rFonts w:ascii="Times" w:hAnsi="Times" w:cs="AdvPTimes"/>
          <w:color w:val="000000"/>
        </w:rPr>
        <w:t>7.75 ± 0.06 in the MidCO</w:t>
      </w:r>
      <w:r w:rsidRPr="00DB3ADB">
        <w:rPr>
          <w:rFonts w:ascii="Times" w:hAnsi="Times" w:cs="AdvPTimes"/>
          <w:color w:val="000000"/>
          <w:vertAlign w:val="subscript"/>
        </w:rPr>
        <w:t>2</w:t>
      </w:r>
      <w:r w:rsidRPr="00650BE8">
        <w:rPr>
          <w:rFonts w:ascii="Times" w:hAnsi="Times" w:cs="AdvPTimes"/>
          <w:color w:val="000000"/>
        </w:rPr>
        <w:t xml:space="preserve"> treatment, and 7.66 ± 0.09 in</w:t>
      </w:r>
      <w:r w:rsidRPr="00650BE8">
        <w:rPr>
          <w:rFonts w:ascii="Times" w:hAnsi="Times" w:cs="AdvPTimes"/>
        </w:rPr>
        <w:t xml:space="preserve"> </w:t>
      </w:r>
      <w:r w:rsidRPr="00650BE8">
        <w:rPr>
          <w:rFonts w:ascii="Times" w:hAnsi="Times" w:cs="AdvPTimes"/>
          <w:color w:val="000000"/>
        </w:rPr>
        <w:t>the HighCO</w:t>
      </w:r>
      <w:r w:rsidRPr="00DB3ADB">
        <w:rPr>
          <w:rFonts w:ascii="Times" w:hAnsi="Times" w:cs="AdvPTimes"/>
          <w:color w:val="000000"/>
          <w:vertAlign w:val="subscript"/>
        </w:rPr>
        <w:t>2</w:t>
      </w:r>
      <w:r w:rsidRPr="00650BE8">
        <w:rPr>
          <w:rFonts w:ascii="Times" w:hAnsi="Times" w:cs="AdvPTimes"/>
          <w:color w:val="000000"/>
        </w:rPr>
        <w:t xml:space="preserve"> treatment. Aragonite and calcite saturation</w:t>
      </w:r>
      <w:r w:rsidRPr="00650BE8">
        <w:rPr>
          <w:rFonts w:ascii="Times" w:hAnsi="Times" w:cs="AdvPTimes"/>
        </w:rPr>
        <w:t xml:space="preserve"> </w:t>
      </w:r>
      <w:r w:rsidRPr="00650BE8">
        <w:rPr>
          <w:rFonts w:ascii="Times" w:hAnsi="Times" w:cs="AdvPTimes"/>
          <w:color w:val="000000"/>
        </w:rPr>
        <w:t>states were</w:t>
      </w:r>
      <w:r w:rsidR="00DB3ADB">
        <w:rPr>
          <w:rFonts w:ascii="Times" w:hAnsi="Times" w:cs="AdvPTimes"/>
          <w:color w:val="000000"/>
        </w:rPr>
        <w:t xml:space="preserve"> &gt;</w:t>
      </w:r>
      <w:r w:rsidRPr="00650BE8">
        <w:rPr>
          <w:rFonts w:ascii="Times" w:hAnsi="Times" w:cs="AdvPTimes"/>
          <w:color w:val="000000"/>
        </w:rPr>
        <w:t>1.0 for the duration of the experiment, except</w:t>
      </w:r>
      <w:r w:rsidRPr="00650BE8">
        <w:rPr>
          <w:rFonts w:ascii="Times" w:hAnsi="Times" w:cs="AdvPTimes"/>
        </w:rPr>
        <w:t xml:space="preserve"> </w:t>
      </w:r>
      <w:r w:rsidRPr="00650BE8">
        <w:rPr>
          <w:rFonts w:ascii="Times" w:hAnsi="Times" w:cs="AdvPTimes"/>
          <w:color w:val="000000"/>
        </w:rPr>
        <w:t>in the HighCO</w:t>
      </w:r>
      <w:r w:rsidRPr="00DB3ADB">
        <w:rPr>
          <w:rFonts w:ascii="Times" w:hAnsi="Times" w:cs="AdvPTimes"/>
          <w:color w:val="000000"/>
          <w:vertAlign w:val="subscript"/>
        </w:rPr>
        <w:t>2</w:t>
      </w:r>
      <w:r w:rsidRPr="00650BE8">
        <w:rPr>
          <w:rFonts w:ascii="Times" w:hAnsi="Times" w:cs="AdvPTimes"/>
          <w:color w:val="000000"/>
        </w:rPr>
        <w:t xml:space="preserve"> treatment on days 1 and 2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w:t>
      </w:r>
      <w:r w:rsidRPr="00650BE8">
        <w:rPr>
          <w:rFonts w:ascii="Times" w:hAnsi="Times" w:cs="AdvPTimes"/>
        </w:rPr>
        <w:t xml:space="preserve">  </w:t>
      </w:r>
      <w:r w:rsidRPr="00650BE8">
        <w:rPr>
          <w:rFonts w:ascii="Times" w:hAnsi="Times" w:cs="AdvPTimes"/>
          <w:color w:val="000000"/>
        </w:rPr>
        <w:t>Carbonate ion concentration was lowest in the HighCO</w:t>
      </w:r>
      <w:r w:rsidRPr="00DB3ADB">
        <w:rPr>
          <w:rFonts w:ascii="Times" w:hAnsi="Times" w:cs="AdvPTimes"/>
          <w:color w:val="000000"/>
          <w:vertAlign w:val="subscript"/>
        </w:rPr>
        <w:t>2</w:t>
      </w:r>
      <w:r w:rsidRPr="00650BE8">
        <w:rPr>
          <w:rFonts w:ascii="Times" w:hAnsi="Times" w:cs="AdvPTimes"/>
        </w:rPr>
        <w:t xml:space="preserve"> </w:t>
      </w:r>
      <w:r w:rsidRPr="00650BE8">
        <w:rPr>
          <w:rFonts w:ascii="Times" w:hAnsi="Times" w:cs="AdvPTimes"/>
          <w:color w:val="000000"/>
        </w:rPr>
        <w:t>treatment</w:t>
      </w:r>
      <w:r w:rsidR="00DB3ADB">
        <w:rPr>
          <w:rFonts w:ascii="Times" w:hAnsi="Times" w:cs="AdvPTimes"/>
          <w:color w:val="000000"/>
        </w:rPr>
        <w:t xml:space="preserve"> (average ± SD of 61.15 ± 4.05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rPr>
        <w:t xml:space="preserve"> </w:t>
      </w:r>
      <w:r w:rsidRPr="00650BE8">
        <w:rPr>
          <w:rFonts w:ascii="Times" w:hAnsi="Times" w:cs="AdvPTimes"/>
          <w:color w:val="000000"/>
        </w:rPr>
        <w:t xml:space="preserve">seawater, N = 4,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intermediate in MidCO</w:t>
      </w:r>
      <w:r w:rsidRPr="00DB3ADB">
        <w:rPr>
          <w:rFonts w:ascii="Times" w:hAnsi="Times" w:cs="AdvPTimes"/>
          <w:color w:val="000000"/>
          <w:vertAlign w:val="subscript"/>
        </w:rPr>
        <w:t>2</w:t>
      </w:r>
      <w:r w:rsidRPr="00650BE8">
        <w:rPr>
          <w:rFonts w:ascii="Times" w:hAnsi="Times" w:cs="AdvPTimes"/>
        </w:rPr>
        <w:t xml:space="preserve"> </w:t>
      </w:r>
      <w:r w:rsidR="00DB3ADB">
        <w:rPr>
          <w:rFonts w:ascii="Times" w:hAnsi="Times" w:cs="AdvPTimes"/>
          <w:color w:val="000000"/>
        </w:rPr>
        <w:t>(74.05 ± 6.43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 and highest in the</w:t>
      </w:r>
      <w:r w:rsidRPr="00650BE8">
        <w:rPr>
          <w:rFonts w:ascii="Times" w:hAnsi="Times" w:cs="AdvPTimes"/>
        </w:rPr>
        <w:t xml:space="preserve"> </w:t>
      </w:r>
      <w:proofErr w:type="gramStart"/>
      <w:r w:rsidRPr="00650BE8">
        <w:rPr>
          <w:rFonts w:ascii="Times" w:hAnsi="Times" w:cs="AdvPTimes"/>
          <w:color w:val="000000"/>
        </w:rPr>
        <w:t>Amb</w:t>
      </w:r>
      <w:r w:rsidR="00DB3ADB">
        <w:rPr>
          <w:rFonts w:ascii="Times" w:hAnsi="Times" w:cs="AdvPTimes"/>
          <w:color w:val="000000"/>
        </w:rPr>
        <w:t>ient</w:t>
      </w:r>
      <w:proofErr w:type="gramEnd"/>
      <w:r w:rsidR="00DB3ADB">
        <w:rPr>
          <w:rFonts w:ascii="Times" w:hAnsi="Times" w:cs="AdvPTimes"/>
          <w:color w:val="000000"/>
        </w:rPr>
        <w:t xml:space="preserve"> treatment (120.24 ± 11.52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w:t>
      </w:r>
      <w:r w:rsidRPr="00650BE8">
        <w:rPr>
          <w:rFonts w:ascii="Times" w:hAnsi="Times" w:cs="AdvPTimes"/>
        </w:rPr>
        <w:t xml:space="preserve">  </w:t>
      </w:r>
      <w:r w:rsidRPr="00650BE8">
        <w:rPr>
          <w:rFonts w:ascii="Times" w:hAnsi="Times" w:cs="AdvPTimes"/>
          <w:color w:val="000000"/>
        </w:rPr>
        <w:t>Partial pressure of CO</w:t>
      </w:r>
      <w:r w:rsidRPr="005B03F6">
        <w:rPr>
          <w:rFonts w:ascii="Times" w:hAnsi="Times" w:cs="AdvPTimes"/>
          <w:color w:val="000000"/>
          <w:vertAlign w:val="subscript"/>
        </w:rPr>
        <w:t>2</w:t>
      </w:r>
      <w:r w:rsidRPr="00650BE8">
        <w:rPr>
          <w:rFonts w:ascii="Times" w:hAnsi="Times" w:cs="AdvPTimes"/>
          <w:color w:val="000000"/>
        </w:rPr>
        <w:t xml:space="preserve"> in the seawater averaged</w:t>
      </w:r>
      <w:r w:rsidRPr="00650BE8">
        <w:rPr>
          <w:rFonts w:ascii="Times" w:hAnsi="Times" w:cs="AdvPTimes"/>
        </w:rPr>
        <w:t xml:space="preserve"> </w:t>
      </w:r>
      <w:r w:rsidR="005B03F6">
        <w:rPr>
          <w:rFonts w:ascii="Times" w:hAnsi="Times" w:cs="AdvPTimes"/>
          <w:color w:val="000000"/>
        </w:rPr>
        <w:t>468 ± 63 μ</w:t>
      </w:r>
      <w:r w:rsidRPr="00650BE8">
        <w:rPr>
          <w:rFonts w:ascii="Times" w:hAnsi="Times" w:cs="AdvPTimes"/>
          <w:color w:val="000000"/>
        </w:rPr>
        <w:t>atm in the Amb</w:t>
      </w:r>
      <w:r w:rsidR="005B03F6">
        <w:rPr>
          <w:rFonts w:ascii="Times" w:hAnsi="Times" w:cs="AdvPTimes"/>
          <w:color w:val="000000"/>
        </w:rPr>
        <w:t>ient treatment, 847 ± 67 μ</w:t>
      </w:r>
      <w:r w:rsidRPr="00650BE8">
        <w:rPr>
          <w:rFonts w:ascii="Times" w:hAnsi="Times" w:cs="AdvPTimes"/>
          <w:color w:val="000000"/>
        </w:rPr>
        <w:t>atm</w:t>
      </w:r>
      <w:r w:rsidRPr="00650BE8">
        <w:rPr>
          <w:rFonts w:ascii="Times" w:hAnsi="Times" w:cs="AdvPTimes"/>
        </w:rPr>
        <w:t xml:space="preserve"> </w:t>
      </w:r>
      <w:r w:rsidRPr="00650BE8">
        <w:rPr>
          <w:rFonts w:ascii="Times" w:hAnsi="Times" w:cs="AdvPTimes"/>
          <w:color w:val="000000"/>
        </w:rPr>
        <w:t>in the MidCO</w:t>
      </w:r>
      <w:r w:rsidRPr="005B03F6">
        <w:rPr>
          <w:rFonts w:ascii="Times" w:hAnsi="Times" w:cs="AdvPTimes"/>
          <w:color w:val="000000"/>
          <w:vertAlign w:val="subscript"/>
        </w:rPr>
        <w:t>2</w:t>
      </w:r>
      <w:r w:rsidR="005B03F6">
        <w:rPr>
          <w:rFonts w:ascii="Times" w:hAnsi="Times" w:cs="AdvPTimes"/>
          <w:color w:val="000000"/>
        </w:rPr>
        <w:t xml:space="preserve"> treatment, and 1,065 ± 58 μ</w:t>
      </w:r>
      <w:r w:rsidRPr="00650BE8">
        <w:rPr>
          <w:rFonts w:ascii="Times" w:hAnsi="Times" w:cs="AdvPTimes"/>
          <w:color w:val="000000"/>
        </w:rPr>
        <w:t>atm in the</w:t>
      </w:r>
      <w:r w:rsidRPr="00650BE8">
        <w:rPr>
          <w:rFonts w:ascii="Times" w:hAnsi="Times" w:cs="AdvPTimes"/>
        </w:rPr>
        <w:t xml:space="preserve"> </w:t>
      </w:r>
      <w:r w:rsidRPr="00650BE8">
        <w:rPr>
          <w:rFonts w:ascii="Times" w:hAnsi="Times" w:cs="AdvPTimes"/>
          <w:color w:val="000000"/>
        </w:rPr>
        <w:t>HighCO</w:t>
      </w:r>
      <w:r w:rsidRPr="005B03F6">
        <w:rPr>
          <w:rFonts w:ascii="Times" w:hAnsi="Times" w:cs="AdvPTimes"/>
          <w:color w:val="000000"/>
          <w:vertAlign w:val="subscript"/>
        </w:rPr>
        <w:t>2</w:t>
      </w:r>
      <w:r w:rsidRPr="00650BE8">
        <w:rPr>
          <w:rFonts w:ascii="Times" w:hAnsi="Times" w:cs="AdvPTimes"/>
          <w:color w:val="000000"/>
        </w:rPr>
        <w:t xml:space="preserve"> treatment.</w:t>
      </w:r>
    </w:p>
    <w:p w14:paraId="39771879" w14:textId="77777777" w:rsidR="0059047D" w:rsidRDefault="0059047D" w:rsidP="00650BE8">
      <w:pPr>
        <w:widowControl w:val="0"/>
        <w:autoSpaceDE w:val="0"/>
        <w:autoSpaceDN w:val="0"/>
        <w:adjustRightInd w:val="0"/>
        <w:ind w:firstLine="720"/>
        <w:rPr>
          <w:rFonts w:ascii="Times" w:hAnsi="Times" w:cs="AdvPTimes"/>
          <w:color w:val="000000"/>
        </w:rPr>
      </w:pPr>
    </w:p>
    <w:p w14:paraId="180145CE" w14:textId="314AA71F"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1. Salinity, total alkalinity (A</w:t>
      </w:r>
      <w:r w:rsidRPr="0059047D">
        <w:rPr>
          <w:rFonts w:ascii="Times" w:hAnsi="Times" w:cs="AdvPTimes"/>
          <w:color w:val="000000"/>
          <w:vertAlign w:val="subscript"/>
        </w:rPr>
        <w:t>T</w:t>
      </w:r>
      <w:r>
        <w:rPr>
          <w:rFonts w:ascii="Times" w:hAnsi="Times" w:cs="AdvPTimes"/>
          <w:color w:val="000000"/>
        </w:rPr>
        <w:t>), and spectrophotometric pH are point measurements taken each day.  Partial pressure CO</w:t>
      </w:r>
      <w:r w:rsidRPr="0059047D">
        <w:rPr>
          <w:rFonts w:ascii="Times" w:hAnsi="Times" w:cs="AdvPTimes"/>
          <w:color w:val="000000"/>
          <w:vertAlign w:val="subscript"/>
        </w:rPr>
        <w:t>2</w:t>
      </w:r>
      <w:r>
        <w:rPr>
          <w:rFonts w:ascii="Times" w:hAnsi="Times" w:cs="AdvPTimes"/>
          <w:color w:val="000000"/>
        </w:rPr>
        <w:t>, Ω,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 xml:space="preserve"> were calculated from spectrophotometric pH and A</w:t>
      </w:r>
      <w:r w:rsidRPr="0059047D">
        <w:rPr>
          <w:rFonts w:ascii="Times" w:hAnsi="Times" w:cs="AdvPTimes"/>
          <w:color w:val="000000"/>
          <w:vertAlign w:val="subscript"/>
        </w:rPr>
        <w:t>T</w:t>
      </w:r>
      <w:r>
        <w:rPr>
          <w:rFonts w:ascii="Times" w:hAnsi="Times" w:cs="AdvPTimes"/>
          <w:color w:val="000000"/>
        </w:rPr>
        <w:t>.  Mean and standard deviation (μ±SD) for the following parameters are given for all 3 days: temperature, salinity, A</w:t>
      </w:r>
      <w:r w:rsidRPr="0059047D">
        <w:rPr>
          <w:rFonts w:ascii="Times" w:hAnsi="Times" w:cs="AdvPTimes"/>
          <w:color w:val="000000"/>
          <w:vertAlign w:val="subscript"/>
        </w:rPr>
        <w:t>T</w:t>
      </w:r>
      <w:proofErr w:type="gramStart"/>
      <w:r>
        <w:rPr>
          <w:rFonts w:ascii="Times" w:hAnsi="Times" w:cs="AdvPTimes"/>
          <w:color w:val="000000"/>
        </w:rPr>
        <w:t>,  pH</w:t>
      </w:r>
      <w:proofErr w:type="gramEnd"/>
      <w:r>
        <w:rPr>
          <w:rFonts w:ascii="Times" w:hAnsi="Times" w:cs="AdvPTimes"/>
          <w:color w:val="000000"/>
        </w:rPr>
        <w:t xml:space="preserve">, </w:t>
      </w:r>
      <w:r w:rsidRPr="0059047D">
        <w:rPr>
          <w:rFonts w:ascii="Times" w:hAnsi="Times" w:cs="AdvPTimes"/>
          <w:i/>
          <w:color w:val="000000"/>
        </w:rPr>
        <w:t>p</w:t>
      </w:r>
      <w:r>
        <w:rPr>
          <w:rFonts w:ascii="Times" w:hAnsi="Times" w:cs="AdvPTimes"/>
          <w:color w:val="000000"/>
        </w:rPr>
        <w:t>CO</w:t>
      </w:r>
      <w:r w:rsidRPr="0059047D">
        <w:rPr>
          <w:rFonts w:ascii="Times" w:hAnsi="Times" w:cs="AdvPTimes"/>
          <w:color w:val="000000"/>
          <w:vertAlign w:val="subscript"/>
        </w:rPr>
        <w:t>2</w:t>
      </w:r>
      <w:r>
        <w:rPr>
          <w:rFonts w:ascii="Times" w:hAnsi="Times" w:cs="AdvPTimes"/>
          <w:color w:val="000000"/>
        </w:rPr>
        <w:t>,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w:t>
      </w:r>
    </w:p>
    <w:p w14:paraId="01F37EBE" w14:textId="62277D50"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1FFF52A3" wp14:editId="4887ACE9">
            <wp:extent cx="5486400" cy="2018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018030"/>
                    </a:xfrm>
                    <a:prstGeom prst="rect">
                      <a:avLst/>
                    </a:prstGeom>
                  </pic:spPr>
                </pic:pic>
              </a:graphicData>
            </a:graphic>
          </wp:inline>
        </w:drawing>
      </w:r>
    </w:p>
    <w:p w14:paraId="4705779C" w14:textId="77777777" w:rsidR="0059047D" w:rsidRDefault="0059047D" w:rsidP="0059047D">
      <w:pPr>
        <w:widowControl w:val="0"/>
        <w:autoSpaceDE w:val="0"/>
        <w:autoSpaceDN w:val="0"/>
        <w:adjustRightInd w:val="0"/>
        <w:rPr>
          <w:rFonts w:ascii="Times" w:hAnsi="Times" w:cs="AdvPTimes"/>
        </w:rPr>
      </w:pPr>
    </w:p>
    <w:p w14:paraId="37CA7284" w14:textId="1D48FC1B"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13FC5720" wp14:editId="08F84E8D">
            <wp:extent cx="4051935" cy="40519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a:extLst>
                        <a:ext uri="{28A0092B-C50C-407E-A947-70E740481C1C}">
                          <a14:useLocalDpi xmlns:a14="http://schemas.microsoft.com/office/drawing/2010/main" val="0"/>
                        </a:ext>
                      </a:extLst>
                    </a:blip>
                    <a:stretch>
                      <a:fillRect/>
                    </a:stretch>
                  </pic:blipFill>
                  <pic:spPr>
                    <a:xfrm>
                      <a:off x="0" y="0"/>
                      <a:ext cx="4051935" cy="4051935"/>
                    </a:xfrm>
                    <a:prstGeom prst="rect">
                      <a:avLst/>
                    </a:prstGeom>
                  </pic:spPr>
                </pic:pic>
              </a:graphicData>
            </a:graphic>
          </wp:inline>
        </w:drawing>
      </w:r>
    </w:p>
    <w:p w14:paraId="38EA1EB6" w14:textId="17FA2CF3" w:rsidR="0059047D" w:rsidRPr="00650BE8" w:rsidRDefault="0059047D" w:rsidP="0059047D">
      <w:pPr>
        <w:widowControl w:val="0"/>
        <w:autoSpaceDE w:val="0"/>
        <w:autoSpaceDN w:val="0"/>
        <w:adjustRightInd w:val="0"/>
        <w:rPr>
          <w:rFonts w:ascii="Times" w:hAnsi="Times" w:cs="AdvPTimes"/>
        </w:rPr>
      </w:pPr>
      <w:r>
        <w:rPr>
          <w:rFonts w:ascii="Times" w:hAnsi="Times" w:cs="AdvPTimes"/>
        </w:rPr>
        <w:t xml:space="preserve">Figure </w:t>
      </w:r>
      <w:r w:rsidR="00426D9F">
        <w:rPr>
          <w:rFonts w:ascii="Times" w:hAnsi="Times" w:cs="AdvPTimes"/>
        </w:rPr>
        <w:t>I.</w:t>
      </w:r>
      <w:r>
        <w:rPr>
          <w:rFonts w:ascii="Times" w:hAnsi="Times" w:cs="AdvPTimes"/>
        </w:rPr>
        <w:t xml:space="preserve">2. </w:t>
      </w:r>
      <w:proofErr w:type="gramStart"/>
      <w:r>
        <w:rPr>
          <w:rFonts w:ascii="Times" w:hAnsi="Times" w:cs="AdvPTimes"/>
        </w:rPr>
        <w:t>Profiles of pH measurements in the three different treatments – Ambient (black), MidCO</w:t>
      </w:r>
      <w:r w:rsidRPr="0059047D">
        <w:rPr>
          <w:rFonts w:ascii="Times" w:hAnsi="Times" w:cs="AdvPTimes"/>
          <w:vertAlign w:val="subscript"/>
        </w:rPr>
        <w:t>2</w:t>
      </w:r>
      <w:r>
        <w:rPr>
          <w:rFonts w:ascii="Times" w:hAnsi="Times" w:cs="AdvPTimes"/>
          <w:vertAlign w:val="subscript"/>
        </w:rPr>
        <w:t xml:space="preserve"> </w:t>
      </w:r>
      <w:r>
        <w:rPr>
          <w:rFonts w:ascii="Times" w:hAnsi="Times" w:cs="AdvPTimes"/>
        </w:rPr>
        <w:t>(light gray), and HighCO</w:t>
      </w:r>
      <w:r w:rsidRPr="0059047D">
        <w:rPr>
          <w:rFonts w:ascii="Times" w:hAnsi="Times" w:cs="AdvPTimes"/>
          <w:vertAlign w:val="subscript"/>
        </w:rPr>
        <w:t>2</w:t>
      </w:r>
      <w:r>
        <w:rPr>
          <w:rFonts w:ascii="Times" w:hAnsi="Times" w:cs="AdvPTimes"/>
        </w:rPr>
        <w:t xml:space="preserve"> (dark gray).</w:t>
      </w:r>
      <w:proofErr w:type="gramEnd"/>
      <w:r>
        <w:rPr>
          <w:rFonts w:ascii="Times" w:hAnsi="Times" w:cs="AdvPTimes"/>
        </w:rPr>
        <w:t xml:space="preserve">  </w:t>
      </w:r>
      <w:proofErr w:type="gramStart"/>
      <w:r>
        <w:rPr>
          <w:rFonts w:ascii="Times" w:hAnsi="Times" w:cs="AdvPTimes"/>
        </w:rPr>
        <w:t>Average pH for the experiment for each treatment is represented by solid lines</w:t>
      </w:r>
      <w:proofErr w:type="gramEnd"/>
      <w:r>
        <w:rPr>
          <w:rFonts w:ascii="Times" w:hAnsi="Times" w:cs="AdvPTimes"/>
        </w:rPr>
        <w:t>.  The DuraFET probes recorded pH measurements every minute.</w:t>
      </w:r>
    </w:p>
    <w:p w14:paraId="08723EC7" w14:textId="77777777" w:rsidR="00E01B09" w:rsidRDefault="00E01B09" w:rsidP="00E01B09">
      <w:pPr>
        <w:pStyle w:val="Heading3"/>
      </w:pPr>
      <w:bookmarkStart w:id="23" w:name="_Toc252109988"/>
      <w:r>
        <w:t>Size, development, and calcification</w:t>
      </w:r>
      <w:bookmarkEnd w:id="23"/>
    </w:p>
    <w:p w14:paraId="19B62F2A" w14:textId="4E91B9AE" w:rsidR="00650BE8" w:rsidRPr="00650BE8" w:rsidRDefault="00650BE8" w:rsidP="00426D9F">
      <w:pPr>
        <w:widowControl w:val="0"/>
        <w:autoSpaceDE w:val="0"/>
        <w:autoSpaceDN w:val="0"/>
        <w:adjustRightInd w:val="0"/>
        <w:spacing w:line="360" w:lineRule="auto"/>
        <w:ind w:firstLine="720"/>
        <w:rPr>
          <w:rFonts w:ascii="Times" w:hAnsi="Times" w:cs="AdvPTimes"/>
        </w:rPr>
      </w:pPr>
      <w:r w:rsidRPr="00650BE8">
        <w:rPr>
          <w:rFonts w:ascii="Times" w:hAnsi="Times" w:cs="AdvPTimes"/>
        </w:rPr>
        <w:t>Survival was near 100 % in all treatments on day 1 (Ambient = 99.0 %, MidCO</w:t>
      </w:r>
      <w:r w:rsidRPr="005B03F6">
        <w:rPr>
          <w:rFonts w:ascii="Times" w:hAnsi="Times" w:cs="AdvPTimes"/>
          <w:vertAlign w:val="subscript"/>
        </w:rPr>
        <w:t>2</w:t>
      </w:r>
      <w:r w:rsidRPr="00650BE8">
        <w:rPr>
          <w:rFonts w:ascii="Times" w:hAnsi="Times" w:cs="AdvPTimes"/>
        </w:rPr>
        <w:t xml:space="preserve"> and HighCO</w:t>
      </w:r>
      <w:r w:rsidRPr="005B03F6">
        <w:rPr>
          <w:rFonts w:ascii="Times" w:hAnsi="Times" w:cs="AdvPTimes"/>
          <w:vertAlign w:val="subscript"/>
        </w:rPr>
        <w:t>2</w:t>
      </w:r>
      <w:r w:rsidRPr="00650BE8">
        <w:rPr>
          <w:rFonts w:ascii="Times" w:hAnsi="Times" w:cs="AdvPTimes"/>
        </w:rPr>
        <w:t xml:space="preserve"> = 99.7 %). On day 3, survival was 92.9 % in the </w:t>
      </w:r>
      <w:proofErr w:type="gramStart"/>
      <w:r w:rsidRPr="00650BE8">
        <w:rPr>
          <w:rFonts w:ascii="Times" w:hAnsi="Times" w:cs="AdvPTimes"/>
        </w:rPr>
        <w:t>Ambient</w:t>
      </w:r>
      <w:proofErr w:type="gramEnd"/>
      <w:r w:rsidRPr="00650BE8">
        <w:rPr>
          <w:rFonts w:ascii="Times" w:hAnsi="Times" w:cs="AdvPTimes"/>
        </w:rPr>
        <w:t xml:space="preserve"> treatment</w:t>
      </w:r>
    </w:p>
    <w:p w14:paraId="032D5240" w14:textId="75429634" w:rsidR="00650BE8" w:rsidRPr="00650BE8" w:rsidRDefault="00650BE8" w:rsidP="00426D9F">
      <w:pPr>
        <w:widowControl w:val="0"/>
        <w:autoSpaceDE w:val="0"/>
        <w:autoSpaceDN w:val="0"/>
        <w:adjustRightInd w:val="0"/>
        <w:spacing w:line="360" w:lineRule="auto"/>
        <w:rPr>
          <w:rFonts w:ascii="Times" w:hAnsi="Times" w:cs="AdvPTimes"/>
        </w:rPr>
      </w:pPr>
      <w:proofErr w:type="gramStart"/>
      <w:r w:rsidRPr="00650BE8">
        <w:rPr>
          <w:rFonts w:ascii="Times" w:hAnsi="Times" w:cs="AdvPTimes"/>
        </w:rPr>
        <w:t>and</w:t>
      </w:r>
      <w:proofErr w:type="gramEnd"/>
      <w:r w:rsidRPr="00650BE8">
        <w:rPr>
          <w:rFonts w:ascii="Times" w:hAnsi="Times" w:cs="AdvPTimes"/>
        </w:rPr>
        <w:t xml:space="preserve"> was approximately 88.6 % in the MidCO</w:t>
      </w:r>
      <w:r w:rsidRPr="005B03F6">
        <w:rPr>
          <w:rFonts w:ascii="Times" w:hAnsi="Times" w:cs="AdvPTimes"/>
          <w:vertAlign w:val="subscript"/>
        </w:rPr>
        <w:t>2</w:t>
      </w:r>
      <w:r w:rsidRPr="00650BE8">
        <w:rPr>
          <w:rFonts w:ascii="Times" w:hAnsi="Times" w:cs="AdvPTimes"/>
        </w:rPr>
        <w:t xml:space="preserve"> and 85.6 % in the HighCO</w:t>
      </w:r>
      <w:r w:rsidRPr="005B03F6">
        <w:rPr>
          <w:rFonts w:ascii="Times" w:hAnsi="Times" w:cs="AdvPTimes"/>
          <w:vertAlign w:val="subscript"/>
        </w:rPr>
        <w:t>2</w:t>
      </w:r>
      <w:r w:rsidRPr="00650BE8">
        <w:rPr>
          <w:rFonts w:ascii="Times" w:hAnsi="Times" w:cs="AdvPTimes"/>
        </w:rPr>
        <w:t xml:space="preserve"> treatment. Mortality was similar</w:t>
      </w:r>
      <w:r w:rsidR="005B03F6">
        <w:rPr>
          <w:rFonts w:ascii="Times" w:hAnsi="Times" w:cs="AdvPTimes"/>
        </w:rPr>
        <w:t xml:space="preserve"> across treatments (F = 0.59, P &gt; </w:t>
      </w:r>
      <w:r w:rsidRPr="00650BE8">
        <w:rPr>
          <w:rFonts w:ascii="Times" w:hAnsi="Times" w:cs="AdvPTimes"/>
        </w:rPr>
        <w:t>0.05) but dif</w:t>
      </w:r>
      <w:r w:rsidR="005B03F6">
        <w:rPr>
          <w:rFonts w:ascii="Times" w:hAnsi="Times" w:cs="AdvPTimes"/>
        </w:rPr>
        <w:t xml:space="preserve">ferent across days (F = 17.7, P &lt; </w:t>
      </w:r>
      <w:r w:rsidRPr="00650BE8">
        <w:rPr>
          <w:rFonts w:ascii="Times" w:hAnsi="Times" w:cs="AdvPTimes"/>
        </w:rPr>
        <w:t>0.05).</w:t>
      </w:r>
    </w:p>
    <w:p w14:paraId="4E270BB4" w14:textId="151FF512"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On day 1, a slightly greater proportion (0.977) of larvae at HighCO</w:t>
      </w:r>
      <w:r w:rsidRPr="005B03F6">
        <w:rPr>
          <w:rFonts w:ascii="Times" w:hAnsi="Times" w:cs="AdvPTimes"/>
          <w:vertAlign w:val="subscript"/>
        </w:rPr>
        <w:t>2</w:t>
      </w:r>
      <w:r w:rsidRPr="00650BE8">
        <w:rPr>
          <w:rFonts w:ascii="Times" w:hAnsi="Times" w:cs="AdvPTimes"/>
        </w:rPr>
        <w:t xml:space="preserve"> were at the D-hinge stage (compared with those that were still trocophores), but this difference was not significant (z value = 1.016, P = 0.310; data not shown). The proportion of larvae at the D-hinge stage on day 1 in the </w:t>
      </w:r>
      <w:proofErr w:type="gramStart"/>
      <w:r w:rsidRPr="00650BE8">
        <w:rPr>
          <w:rFonts w:ascii="Times" w:hAnsi="Times" w:cs="AdvPTimes"/>
        </w:rPr>
        <w:t>Ambient</w:t>
      </w:r>
      <w:proofErr w:type="gramEnd"/>
      <w:r w:rsidRPr="00650BE8">
        <w:rPr>
          <w:rFonts w:ascii="Times" w:hAnsi="Times" w:cs="AdvPTimes"/>
        </w:rPr>
        <w:t xml:space="preserve"> treatment was 0.875 and in MidCO</w:t>
      </w:r>
      <w:r w:rsidRPr="005B03F6">
        <w:rPr>
          <w:rFonts w:ascii="Times" w:hAnsi="Times" w:cs="AdvPTimes"/>
          <w:vertAlign w:val="subscript"/>
        </w:rPr>
        <w:t>2</w:t>
      </w:r>
      <w:r w:rsidRPr="00650BE8">
        <w:rPr>
          <w:rFonts w:ascii="Times" w:hAnsi="Times" w:cs="AdvPTimes"/>
        </w:rPr>
        <w:t xml:space="preserve"> was 0.833. Amount of larvae with shell was significantly different among treatments for days 1 and 3 post-fertilization.  Following 24 h of treatment (day 1), the proportion </w:t>
      </w:r>
      <w:r w:rsidRPr="00650BE8">
        <w:rPr>
          <w:rFonts w:ascii="Times" w:hAnsi="Times" w:cs="AdvPTimes"/>
          <w:color w:val="000000"/>
        </w:rPr>
        <w:t>of larvae with shell present was inversely proportional to</w:t>
      </w:r>
      <w:r w:rsidRPr="00650BE8">
        <w:rPr>
          <w:rFonts w:ascii="Times" w:hAnsi="Times" w:cs="AdvPTimes"/>
        </w:rPr>
        <w:t xml:space="preserve">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level with the greatest number of larvae with shell in</w:t>
      </w:r>
      <w:r w:rsidRPr="00650BE8">
        <w:rPr>
          <w:rFonts w:ascii="Times" w:hAnsi="Times" w:cs="AdvPTimes"/>
        </w:rPr>
        <w:t xml:space="preserve"> </w:t>
      </w:r>
      <w:r w:rsidRPr="00650BE8">
        <w:rPr>
          <w:rFonts w:ascii="Times" w:hAnsi="Times" w:cs="AdvPTimes"/>
          <w:color w:val="000000"/>
        </w:rPr>
        <w:t>the HighCO</w:t>
      </w:r>
      <w:r w:rsidRPr="005B03F6">
        <w:rPr>
          <w:rFonts w:ascii="Times" w:hAnsi="Times" w:cs="AdvPTimes"/>
          <w:color w:val="000000"/>
          <w:vertAlign w:val="subscript"/>
        </w:rPr>
        <w:t>2</w:t>
      </w:r>
      <w:r w:rsidRPr="00650BE8">
        <w:rPr>
          <w:rFonts w:ascii="Times" w:hAnsi="Times" w:cs="AdvPTimes"/>
          <w:color w:val="000000"/>
        </w:rPr>
        <w:t xml:space="preserve"> treatment (z value = 2.084, P = 0.0372,</w:t>
      </w:r>
      <w:r w:rsidRPr="00650BE8">
        <w:rPr>
          <w:rFonts w:ascii="Times" w:hAnsi="Times" w:cs="AdvPTimes"/>
        </w:rPr>
        <w:t xml:space="preserve"> </w:t>
      </w:r>
      <w:r w:rsidRPr="00650BE8">
        <w:rPr>
          <w:rFonts w:ascii="Times" w:hAnsi="Times" w:cs="AdvPTimes"/>
          <w:color w:val="000000"/>
        </w:rPr>
        <w:t xml:space="preserve">Fig. </w:t>
      </w:r>
      <w:r w:rsidR="00A14DF5">
        <w:rPr>
          <w:rFonts w:ascii="Times" w:hAnsi="Times" w:cs="AdvPTimes"/>
          <w:color w:val="000000"/>
        </w:rPr>
        <w:t>I.</w:t>
      </w:r>
      <w:r w:rsidRPr="00650BE8">
        <w:rPr>
          <w:rFonts w:ascii="Times" w:hAnsi="Times" w:cs="AdvPTimes"/>
          <w:color w:val="0000FF"/>
        </w:rPr>
        <w:t>3</w:t>
      </w:r>
      <w:r w:rsidRPr="00650BE8">
        <w:rPr>
          <w:rFonts w:ascii="Times" w:hAnsi="Times" w:cs="AdvPTimes"/>
          <w:color w:val="000000"/>
        </w:rPr>
        <w:t xml:space="preserve">). </w:t>
      </w:r>
      <w:proofErr w:type="gramStart"/>
      <w:r w:rsidRPr="00650BE8">
        <w:rPr>
          <w:rFonts w:ascii="Times" w:hAnsi="Times" w:cs="AdvPTimes"/>
          <w:color w:val="000000"/>
        </w:rPr>
        <w:t>On</w:t>
      </w:r>
      <w:proofErr w:type="gramEnd"/>
      <w:r w:rsidRPr="00650BE8">
        <w:rPr>
          <w:rFonts w:ascii="Times" w:hAnsi="Times" w:cs="AdvPTimes"/>
          <w:color w:val="000000"/>
        </w:rPr>
        <w:t xml:space="preserve"> day 3, fewer larvae at HighCO</w:t>
      </w:r>
      <w:r w:rsidRPr="005B03F6">
        <w:rPr>
          <w:rFonts w:ascii="Times" w:hAnsi="Times" w:cs="AdvPTimes"/>
          <w:color w:val="000000"/>
          <w:vertAlign w:val="subscript"/>
        </w:rPr>
        <w:t>2</w:t>
      </w:r>
      <w:r w:rsidRPr="00650BE8">
        <w:rPr>
          <w:rFonts w:ascii="Times" w:hAnsi="Times" w:cs="AdvPTimes"/>
          <w:color w:val="000000"/>
        </w:rPr>
        <w:t xml:space="preserve"> conditions had</w:t>
      </w:r>
      <w:r w:rsidRPr="00650BE8">
        <w:rPr>
          <w:rFonts w:ascii="Times" w:hAnsi="Times" w:cs="AdvPTimes"/>
        </w:rPr>
        <w:t xml:space="preserve"> </w:t>
      </w:r>
      <w:r w:rsidRPr="00650BE8">
        <w:rPr>
          <w:rFonts w:ascii="Times" w:hAnsi="Times" w:cs="AdvPTimes"/>
          <w:color w:val="000000"/>
        </w:rPr>
        <w:t>full shell compared with the other two treatments</w:t>
      </w:r>
      <w:r w:rsidRPr="00650BE8">
        <w:rPr>
          <w:rFonts w:ascii="Times" w:hAnsi="Times" w:cs="AdvPTimes"/>
        </w:rPr>
        <w:t xml:space="preserve"> </w:t>
      </w:r>
      <w:r w:rsidRPr="00650BE8">
        <w:rPr>
          <w:rFonts w:ascii="Times" w:hAnsi="Times" w:cs="AdvPTimes"/>
          <w:color w:val="000000"/>
        </w:rPr>
        <w:t>(z value = -3.203, P = 0.00136).</w:t>
      </w:r>
    </w:p>
    <w:p w14:paraId="4F60AA03" w14:textId="5EA48FBA" w:rsidR="0059047D" w:rsidRDefault="00F11BEB" w:rsidP="0059047D">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6A2AAB5C" wp14:editId="77EEA8C4">
            <wp:extent cx="3594735" cy="3288517"/>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0">
                      <a:extLst>
                        <a:ext uri="{28A0092B-C50C-407E-A947-70E740481C1C}">
                          <a14:useLocalDpi xmlns:a14="http://schemas.microsoft.com/office/drawing/2010/main" val="0"/>
                        </a:ext>
                      </a:extLst>
                    </a:blip>
                    <a:stretch>
                      <a:fillRect/>
                    </a:stretch>
                  </pic:blipFill>
                  <pic:spPr>
                    <a:xfrm>
                      <a:off x="0" y="0"/>
                      <a:ext cx="3594735" cy="3288517"/>
                    </a:xfrm>
                    <a:prstGeom prst="rect">
                      <a:avLst/>
                    </a:prstGeom>
                  </pic:spPr>
                </pic:pic>
              </a:graphicData>
            </a:graphic>
          </wp:inline>
        </w:drawing>
      </w:r>
    </w:p>
    <w:p w14:paraId="3D40F5A2" w14:textId="739B3433"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3. </w:t>
      </w:r>
      <w:r w:rsidR="00CD79A7">
        <w:rPr>
          <w:rFonts w:ascii="Times" w:hAnsi="Times" w:cs="AdvPTimes"/>
          <w:color w:val="000000"/>
        </w:rPr>
        <w:t xml:space="preserve">Proportion of calcified larvae at different </w:t>
      </w:r>
      <w:r w:rsidR="00CD79A7" w:rsidRPr="00CD79A7">
        <w:rPr>
          <w:rFonts w:ascii="Times" w:hAnsi="Times" w:cs="AdvPTimes"/>
          <w:i/>
          <w:color w:val="000000"/>
        </w:rPr>
        <w:t>p</w:t>
      </w:r>
      <w:r w:rsidR="00CD79A7">
        <w:rPr>
          <w:rFonts w:ascii="Times" w:hAnsi="Times" w:cs="AdvPTimes"/>
          <w:color w:val="000000"/>
        </w:rPr>
        <w:t>CO</w:t>
      </w:r>
      <w:r w:rsidR="00CD79A7" w:rsidRPr="00CD79A7">
        <w:rPr>
          <w:rFonts w:ascii="Times" w:hAnsi="Times" w:cs="AdvPTimes"/>
          <w:color w:val="000000"/>
          <w:vertAlign w:val="subscript"/>
        </w:rPr>
        <w:t>2</w:t>
      </w:r>
      <w:r w:rsidR="00CD79A7">
        <w:rPr>
          <w:rFonts w:ascii="Times" w:hAnsi="Times" w:cs="AdvPTimes"/>
          <w:color w:val="000000"/>
        </w:rPr>
        <w:t xml:space="preserve"> treatments.  Bars represent calcification on day 1 (white) and day 3 (gray).  Proportion of larvae calcified are provided from the Ambient treatment (panel A), MidCO</w:t>
      </w:r>
      <w:r w:rsidR="00CD79A7" w:rsidRPr="00CD79A7">
        <w:rPr>
          <w:rFonts w:ascii="Times" w:hAnsi="Times" w:cs="AdvPTimes"/>
          <w:color w:val="000000"/>
          <w:vertAlign w:val="subscript"/>
        </w:rPr>
        <w:t>2</w:t>
      </w:r>
      <w:r w:rsidR="00CD79A7">
        <w:rPr>
          <w:rFonts w:ascii="Times" w:hAnsi="Times" w:cs="AdvPTimes"/>
          <w:color w:val="000000"/>
        </w:rPr>
        <w:t xml:space="preserve"> treatment (panel B), and HighCO</w:t>
      </w:r>
      <w:r w:rsidR="00CD79A7" w:rsidRPr="00CD79A7">
        <w:rPr>
          <w:rFonts w:ascii="Times" w:hAnsi="Times" w:cs="AdvPTimes"/>
          <w:color w:val="000000"/>
          <w:vertAlign w:val="subscript"/>
        </w:rPr>
        <w:t>2</w:t>
      </w:r>
      <w:r w:rsidR="00CD79A7">
        <w:rPr>
          <w:rFonts w:ascii="Times" w:hAnsi="Times" w:cs="AdvPTimes"/>
          <w:color w:val="000000"/>
        </w:rPr>
        <w:t xml:space="preserve"> treatment (panel C).  There is a significant difference in calcification among treatments, with the highest proportion of larvae calcified at HighCO</w:t>
      </w:r>
      <w:r w:rsidR="00CD79A7" w:rsidRPr="00CD79A7">
        <w:rPr>
          <w:rFonts w:ascii="Times" w:hAnsi="Times" w:cs="AdvPTimes"/>
          <w:color w:val="000000"/>
          <w:vertAlign w:val="subscript"/>
        </w:rPr>
        <w:t>2</w:t>
      </w:r>
      <w:r w:rsidR="00CD79A7">
        <w:rPr>
          <w:rFonts w:ascii="Times" w:hAnsi="Times" w:cs="AdvPTimes"/>
          <w:color w:val="000000"/>
        </w:rPr>
        <w:t xml:space="preserve"> on day </w:t>
      </w:r>
      <w:r w:rsidR="0030116B">
        <w:rPr>
          <w:rFonts w:ascii="Times" w:hAnsi="Times" w:cs="AdvPTimes"/>
          <w:color w:val="000000"/>
        </w:rPr>
        <w:t>1 and the fewest larvae calcified in HighCO</w:t>
      </w:r>
      <w:r w:rsidR="0030116B" w:rsidRPr="0030116B">
        <w:rPr>
          <w:rFonts w:ascii="Times" w:hAnsi="Times" w:cs="AdvPTimes"/>
          <w:color w:val="000000"/>
          <w:vertAlign w:val="subscript"/>
        </w:rPr>
        <w:t>2</w:t>
      </w:r>
      <w:r w:rsidR="0030116B">
        <w:rPr>
          <w:rFonts w:ascii="Times" w:hAnsi="Times" w:cs="AdvPTimes"/>
          <w:color w:val="000000"/>
        </w:rPr>
        <w:t xml:space="preserve"> on day 3.</w:t>
      </w:r>
    </w:p>
    <w:p w14:paraId="5A283D17" w14:textId="77777777" w:rsidR="0030116B" w:rsidRPr="00650BE8" w:rsidRDefault="0030116B" w:rsidP="0059047D">
      <w:pPr>
        <w:widowControl w:val="0"/>
        <w:autoSpaceDE w:val="0"/>
        <w:autoSpaceDN w:val="0"/>
        <w:adjustRightInd w:val="0"/>
        <w:rPr>
          <w:rFonts w:ascii="Times" w:hAnsi="Times" w:cs="AdvPTimes"/>
          <w:color w:val="000000"/>
        </w:rPr>
      </w:pPr>
    </w:p>
    <w:p w14:paraId="27A93D84" w14:textId="4C087083"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Larval size (shell height and hinge length) was similar across experimental treatments after 24 h; however, by day 3, larvae grew significantly larger (height and length) in the Ambient and MidCO</w:t>
      </w:r>
      <w:r w:rsidRPr="005B03F6">
        <w:rPr>
          <w:rFonts w:ascii="Times" w:hAnsi="Times" w:cs="AdvPTimes"/>
          <w:color w:val="000000"/>
          <w:vertAlign w:val="subscript"/>
        </w:rPr>
        <w:t>2</w:t>
      </w:r>
      <w:r w:rsidRPr="00650BE8">
        <w:rPr>
          <w:rFonts w:ascii="Times" w:hAnsi="Times" w:cs="AdvPTimes"/>
          <w:color w:val="000000"/>
        </w:rPr>
        <w:t xml:space="preserve"> as compared to the HighCO</w:t>
      </w:r>
      <w:r w:rsidRPr="005B03F6">
        <w:rPr>
          <w:rFonts w:ascii="Times" w:hAnsi="Times" w:cs="AdvPTimes"/>
          <w:color w:val="000000"/>
          <w:vertAlign w:val="subscript"/>
        </w:rPr>
        <w:t>2</w:t>
      </w:r>
      <w:r w:rsidRPr="00650BE8">
        <w:rPr>
          <w:rFonts w:ascii="Times" w:hAnsi="Times" w:cs="AdvPTimes"/>
          <w:color w:val="000000"/>
        </w:rPr>
        <w:t xml:space="preserve"> treatment (Table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xml:space="preserve">, Figs. </w:t>
      </w:r>
      <w:r w:rsidR="00A14DF5">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A14DF5">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Between days 1 and 3, larvae increased in size under Ambi</w:t>
      </w:r>
      <w:r w:rsidR="005B03F6">
        <w:rPr>
          <w:rFonts w:ascii="Times" w:hAnsi="Times" w:cs="AdvPTimes"/>
          <w:color w:val="000000"/>
        </w:rPr>
        <w:t xml:space="preserve">ent conditions (shell height, P &lt; </w:t>
      </w:r>
      <w:r w:rsidRPr="00650BE8">
        <w:rPr>
          <w:rFonts w:ascii="Times" w:hAnsi="Times" w:cs="AdvPTimes"/>
          <w:color w:val="000000"/>
        </w:rPr>
        <w:t>1e-7) and MidCO</w:t>
      </w:r>
      <w:r w:rsidRPr="005B03F6">
        <w:rPr>
          <w:rFonts w:ascii="Times" w:hAnsi="Times" w:cs="AdvPTimes"/>
          <w:color w:val="000000"/>
          <w:vertAlign w:val="subscript"/>
        </w:rPr>
        <w:t>2</w:t>
      </w:r>
      <w:r w:rsidRPr="00650BE8">
        <w:rPr>
          <w:rFonts w:ascii="Times" w:hAnsi="Times" w:cs="AdvPTimes"/>
          <w:color w:val="000000"/>
        </w:rPr>
        <w:t xml:space="preserve"> conditions (s</w:t>
      </w:r>
      <w:r w:rsidR="005B03F6">
        <w:rPr>
          <w:rFonts w:ascii="Times" w:hAnsi="Times" w:cs="AdvPTimes"/>
          <w:color w:val="000000"/>
        </w:rPr>
        <w:t xml:space="preserve">hell height and hinge length, P &lt; </w:t>
      </w:r>
      <w:r w:rsidRPr="00650BE8">
        <w:rPr>
          <w:rFonts w:ascii="Times" w:hAnsi="Times" w:cs="AdvPTimes"/>
          <w:color w:val="000000"/>
        </w:rPr>
        <w:t xml:space="preserve">1e-7 and P = 7.4e-6, respectively; Figs. </w:t>
      </w:r>
      <w:r w:rsidR="00D62029">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D62029">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but did not significantly increase in size under HighCO</w:t>
      </w:r>
      <w:r w:rsidRPr="005B03F6">
        <w:rPr>
          <w:rFonts w:ascii="Times" w:hAnsi="Times" w:cs="AdvPTimes"/>
          <w:color w:val="000000"/>
          <w:vertAlign w:val="subscript"/>
        </w:rPr>
        <w:t>2</w:t>
      </w:r>
      <w:r w:rsidRPr="00650BE8">
        <w:rPr>
          <w:rFonts w:ascii="Times" w:hAnsi="Times" w:cs="AdvPTimes"/>
          <w:color w:val="000000"/>
        </w:rPr>
        <w:t xml:space="preserve"> conditions. By day 3, all larvae observed across treatments were at the D-hinge stage. The slope of the linear regression through shell height versus hinge length for the larvae raised at Ambient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was 0.6459 (Fig. </w:t>
      </w:r>
      <w:r w:rsidR="00D62029">
        <w:rPr>
          <w:rFonts w:ascii="Times" w:hAnsi="Times" w:cs="AdvPTimes"/>
          <w:color w:val="000000"/>
        </w:rPr>
        <w:t>I.</w:t>
      </w:r>
      <w:r w:rsidRPr="00650BE8">
        <w:rPr>
          <w:rFonts w:ascii="Times" w:hAnsi="Times" w:cs="AdvPTimes"/>
          <w:color w:val="0000FF"/>
        </w:rPr>
        <w:t>6</w:t>
      </w:r>
      <w:r w:rsidRPr="00650BE8">
        <w:rPr>
          <w:rFonts w:ascii="Times" w:hAnsi="Times" w:cs="AdvPTimes"/>
          <w:color w:val="000000"/>
        </w:rPr>
        <w:t>), which was not significantly different from the slope of the regression line through the MidCO</w:t>
      </w:r>
      <w:r w:rsidRPr="005B03F6">
        <w:rPr>
          <w:rFonts w:ascii="Times" w:hAnsi="Times" w:cs="AdvPTimes"/>
          <w:color w:val="000000"/>
          <w:vertAlign w:val="subscript"/>
        </w:rPr>
        <w:t>2</w:t>
      </w:r>
      <w:r w:rsidR="005B03F6">
        <w:rPr>
          <w:rFonts w:ascii="Times" w:hAnsi="Times" w:cs="AdvPTimes"/>
          <w:color w:val="000000"/>
        </w:rPr>
        <w:t xml:space="preserve"> data (0.8583, P  &gt; </w:t>
      </w:r>
      <w:r w:rsidRPr="00650BE8">
        <w:rPr>
          <w:rFonts w:ascii="Times" w:hAnsi="Times" w:cs="AdvPTimes"/>
          <w:color w:val="000000"/>
        </w:rPr>
        <w:t>0.05) or from the line through the HighCO</w:t>
      </w:r>
      <w:r w:rsidRPr="005B03F6">
        <w:rPr>
          <w:rFonts w:ascii="Times" w:hAnsi="Times" w:cs="AdvPTimes"/>
          <w:color w:val="000000"/>
          <w:vertAlign w:val="subscript"/>
        </w:rPr>
        <w:t>2</w:t>
      </w:r>
      <w:r w:rsidR="005B03F6">
        <w:rPr>
          <w:rFonts w:ascii="Times" w:hAnsi="Times" w:cs="AdvPTimes"/>
          <w:color w:val="000000"/>
        </w:rPr>
        <w:t xml:space="preserve"> size data (0.3625, P &gt; </w:t>
      </w:r>
      <w:r w:rsidRPr="00650BE8">
        <w:rPr>
          <w:rFonts w:ascii="Times" w:hAnsi="Times" w:cs="AdvPTimes"/>
          <w:color w:val="000000"/>
        </w:rPr>
        <w:t>0.10).</w:t>
      </w:r>
    </w:p>
    <w:p w14:paraId="242E8523" w14:textId="77777777" w:rsidR="00426D9F" w:rsidRDefault="00426D9F" w:rsidP="00426D9F">
      <w:pPr>
        <w:widowControl w:val="0"/>
        <w:autoSpaceDE w:val="0"/>
        <w:autoSpaceDN w:val="0"/>
        <w:adjustRightInd w:val="0"/>
        <w:spacing w:line="360" w:lineRule="auto"/>
        <w:ind w:firstLine="720"/>
        <w:rPr>
          <w:rFonts w:ascii="Times" w:hAnsi="Times" w:cs="AdvPTimes"/>
          <w:color w:val="000000"/>
        </w:rPr>
      </w:pPr>
    </w:p>
    <w:p w14:paraId="5DF704AE" w14:textId="27B645E4" w:rsidR="0030116B" w:rsidRDefault="0030116B" w:rsidP="00426D9F">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2. Results from post hoc Tukey’s HSD following ANOVA for comparisons of hinge length and shell height among treatments.</w:t>
      </w:r>
    </w:p>
    <w:p w14:paraId="79F10A03" w14:textId="7CD5158B" w:rsidR="0030116B" w:rsidRDefault="0030116B" w:rsidP="0030116B">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15A87A59" wp14:editId="22CF6B71">
            <wp:extent cx="4852035" cy="2093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1">
                      <a:extLst>
                        <a:ext uri="{28A0092B-C50C-407E-A947-70E740481C1C}">
                          <a14:useLocalDpi xmlns:a14="http://schemas.microsoft.com/office/drawing/2010/main" val="0"/>
                        </a:ext>
                      </a:extLst>
                    </a:blip>
                    <a:stretch>
                      <a:fillRect/>
                    </a:stretch>
                  </pic:blipFill>
                  <pic:spPr>
                    <a:xfrm>
                      <a:off x="0" y="0"/>
                      <a:ext cx="4852393" cy="2093527"/>
                    </a:xfrm>
                    <a:prstGeom prst="rect">
                      <a:avLst/>
                    </a:prstGeom>
                  </pic:spPr>
                </pic:pic>
              </a:graphicData>
            </a:graphic>
          </wp:inline>
        </w:drawing>
      </w:r>
    </w:p>
    <w:p w14:paraId="0A5982F4" w14:textId="77777777" w:rsidR="0030116B" w:rsidRDefault="0030116B" w:rsidP="0030116B">
      <w:pPr>
        <w:widowControl w:val="0"/>
        <w:autoSpaceDE w:val="0"/>
        <w:autoSpaceDN w:val="0"/>
        <w:adjustRightInd w:val="0"/>
        <w:rPr>
          <w:rFonts w:ascii="Times" w:hAnsi="Times" w:cs="AdvPTimes"/>
          <w:color w:val="000000"/>
        </w:rPr>
      </w:pPr>
    </w:p>
    <w:p w14:paraId="27018742" w14:textId="77777777" w:rsidR="0030116B" w:rsidRDefault="0030116B" w:rsidP="0030116B">
      <w:pPr>
        <w:widowControl w:val="0"/>
        <w:autoSpaceDE w:val="0"/>
        <w:autoSpaceDN w:val="0"/>
        <w:adjustRightInd w:val="0"/>
        <w:rPr>
          <w:rFonts w:ascii="Times" w:hAnsi="Times" w:cs="AdvPTimes"/>
          <w:color w:val="000000"/>
        </w:rPr>
      </w:pPr>
    </w:p>
    <w:p w14:paraId="0FDDCA20" w14:textId="4A9FED04" w:rsidR="00367483" w:rsidRDefault="00367483" w:rsidP="00650BE8">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7454968E" wp14:editId="6C20B933">
            <wp:extent cx="3137535" cy="3001357"/>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a:extLst>
                        <a:ext uri="{28A0092B-C50C-407E-A947-70E740481C1C}">
                          <a14:useLocalDpi xmlns:a14="http://schemas.microsoft.com/office/drawing/2010/main" val="0"/>
                        </a:ext>
                      </a:extLst>
                    </a:blip>
                    <a:stretch>
                      <a:fillRect/>
                    </a:stretch>
                  </pic:blipFill>
                  <pic:spPr>
                    <a:xfrm>
                      <a:off x="0" y="0"/>
                      <a:ext cx="3137535" cy="3001357"/>
                    </a:xfrm>
                    <a:prstGeom prst="rect">
                      <a:avLst/>
                    </a:prstGeom>
                  </pic:spPr>
                </pic:pic>
              </a:graphicData>
            </a:graphic>
          </wp:inline>
        </w:drawing>
      </w:r>
    </w:p>
    <w:p w14:paraId="3E6DBDDB" w14:textId="16A3FBD2" w:rsidR="00367483" w:rsidRDefault="00367483"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4. </w:t>
      </w:r>
      <w:proofErr w:type="gramStart"/>
      <w:r>
        <w:rPr>
          <w:rFonts w:ascii="Times" w:hAnsi="Times" w:cs="AdvPTimes"/>
          <w:color w:val="000000"/>
        </w:rPr>
        <w:t>Larval hinge length on day 1 (white boxplots) and day 3 (gray boxplots).</w:t>
      </w:r>
      <w:proofErr w:type="gramEnd"/>
      <w:r>
        <w:rPr>
          <w:rFonts w:ascii="Times" w:hAnsi="Times" w:cs="AdvPTimes"/>
          <w:color w:val="000000"/>
        </w:rPr>
        <w:t xml:space="preserve">   Results are shown for the </w:t>
      </w:r>
      <w:proofErr w:type="gramStart"/>
      <w:r>
        <w:rPr>
          <w:rFonts w:ascii="Times" w:hAnsi="Times" w:cs="AdvPTimes"/>
          <w:color w:val="000000"/>
        </w:rPr>
        <w:t>Ambient</w:t>
      </w:r>
      <w:proofErr w:type="gramEnd"/>
      <w:r>
        <w:rPr>
          <w:rFonts w:ascii="Times" w:hAnsi="Times" w:cs="AdvPTimes"/>
          <w:color w:val="000000"/>
        </w:rPr>
        <w:t xml:space="preserve">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larvae in the HighCO</w:t>
      </w:r>
      <w:r w:rsidRPr="00367483">
        <w:rPr>
          <w:rFonts w:ascii="Times" w:hAnsi="Times" w:cs="AdvPTimes"/>
          <w:color w:val="000000"/>
          <w:vertAlign w:val="subscript"/>
        </w:rPr>
        <w:t>2</w:t>
      </w:r>
      <w:r>
        <w:rPr>
          <w:rFonts w:ascii="Times" w:hAnsi="Times" w:cs="AdvPTimes"/>
          <w:color w:val="000000"/>
        </w:rPr>
        <w:t xml:space="preserve"> treatment were significantly smaller than those in the other two treatments (P &lt; 0.05).</w:t>
      </w:r>
    </w:p>
    <w:p w14:paraId="00AEC6CC" w14:textId="77777777" w:rsidR="0030116B" w:rsidRDefault="0030116B" w:rsidP="00367483">
      <w:pPr>
        <w:widowControl w:val="0"/>
        <w:autoSpaceDE w:val="0"/>
        <w:autoSpaceDN w:val="0"/>
        <w:adjustRightInd w:val="0"/>
        <w:rPr>
          <w:rFonts w:ascii="Times" w:hAnsi="Times" w:cs="AdvPTimes"/>
          <w:color w:val="000000"/>
        </w:rPr>
      </w:pPr>
    </w:p>
    <w:p w14:paraId="7CDEBDC1" w14:textId="77777777"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71B92FBB" wp14:editId="4CC00077">
            <wp:extent cx="3709035" cy="352701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3">
                      <a:extLst>
                        <a:ext uri="{28A0092B-C50C-407E-A947-70E740481C1C}">
                          <a14:useLocalDpi xmlns:a14="http://schemas.microsoft.com/office/drawing/2010/main" val="0"/>
                        </a:ext>
                      </a:extLst>
                    </a:blip>
                    <a:stretch>
                      <a:fillRect/>
                    </a:stretch>
                  </pic:blipFill>
                  <pic:spPr>
                    <a:xfrm>
                      <a:off x="0" y="0"/>
                      <a:ext cx="3709035" cy="3527018"/>
                    </a:xfrm>
                    <a:prstGeom prst="rect">
                      <a:avLst/>
                    </a:prstGeom>
                  </pic:spPr>
                </pic:pic>
              </a:graphicData>
            </a:graphic>
          </wp:inline>
        </w:drawing>
      </w:r>
    </w:p>
    <w:p w14:paraId="2E435EBA" w14:textId="77777777" w:rsidR="0030116B" w:rsidRDefault="0030116B" w:rsidP="00367483">
      <w:pPr>
        <w:widowControl w:val="0"/>
        <w:autoSpaceDE w:val="0"/>
        <w:autoSpaceDN w:val="0"/>
        <w:adjustRightInd w:val="0"/>
        <w:rPr>
          <w:rFonts w:ascii="Times" w:hAnsi="Times" w:cs="AdvPTimes"/>
          <w:color w:val="000000"/>
        </w:rPr>
      </w:pPr>
    </w:p>
    <w:p w14:paraId="6995DE6F" w14:textId="2C005F69" w:rsidR="0030116B"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5. </w:t>
      </w:r>
      <w:proofErr w:type="gramStart"/>
      <w:r>
        <w:rPr>
          <w:rFonts w:ascii="Times" w:hAnsi="Times" w:cs="AdvPTimes"/>
          <w:color w:val="000000"/>
        </w:rPr>
        <w:t>Larval shell height on day 1 (white boxplots) and day 3 (gray boxplots).</w:t>
      </w:r>
      <w:proofErr w:type="gramEnd"/>
      <w:r>
        <w:rPr>
          <w:rFonts w:ascii="Times" w:hAnsi="Times" w:cs="AdvPTimes"/>
          <w:color w:val="000000"/>
        </w:rPr>
        <w:t xml:space="preserve">  Results are shown for the </w:t>
      </w:r>
      <w:proofErr w:type="gramStart"/>
      <w:r>
        <w:rPr>
          <w:rFonts w:ascii="Times" w:hAnsi="Times" w:cs="AdvPTimes"/>
          <w:color w:val="000000"/>
        </w:rPr>
        <w:t>Ambient</w:t>
      </w:r>
      <w:proofErr w:type="gramEnd"/>
      <w:r>
        <w:rPr>
          <w:rFonts w:ascii="Times" w:hAnsi="Times" w:cs="AdvPTimes"/>
          <w:color w:val="000000"/>
        </w:rPr>
        <w:t xml:space="preserve">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shell height was reduced in larvae at HighCO</w:t>
      </w:r>
      <w:r w:rsidRPr="0030116B">
        <w:rPr>
          <w:rFonts w:ascii="Times" w:hAnsi="Times" w:cs="AdvPTimes"/>
          <w:color w:val="000000"/>
          <w:vertAlign w:val="subscript"/>
        </w:rPr>
        <w:t>2</w:t>
      </w:r>
      <w:r>
        <w:rPr>
          <w:rFonts w:ascii="Times" w:hAnsi="Times" w:cs="AdvPTimes"/>
          <w:color w:val="000000"/>
        </w:rPr>
        <w:t xml:space="preserve"> relative to those raised at Ambient and at MidCO</w:t>
      </w:r>
      <w:r w:rsidRPr="0030116B">
        <w:rPr>
          <w:rFonts w:ascii="Times" w:hAnsi="Times" w:cs="AdvPTimes"/>
          <w:color w:val="000000"/>
          <w:vertAlign w:val="subscript"/>
        </w:rPr>
        <w:t>2</w:t>
      </w:r>
      <w:r>
        <w:rPr>
          <w:rFonts w:ascii="Times" w:hAnsi="Times" w:cs="AdvPTimes"/>
          <w:color w:val="000000"/>
        </w:rPr>
        <w:t xml:space="preserve"> (P &lt; 0.01),</w:t>
      </w:r>
    </w:p>
    <w:p w14:paraId="4C0D2F17" w14:textId="08227DDE"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6B336D93" wp14:editId="58A5C185">
            <wp:extent cx="3883660" cy="38836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3883660" cy="3883660"/>
                    </a:xfrm>
                    <a:prstGeom prst="rect">
                      <a:avLst/>
                    </a:prstGeom>
                  </pic:spPr>
                </pic:pic>
              </a:graphicData>
            </a:graphic>
          </wp:inline>
        </w:drawing>
      </w:r>
    </w:p>
    <w:p w14:paraId="645CEF33" w14:textId="25591ADC" w:rsidR="0030116B" w:rsidRPr="00650BE8"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6.  </w:t>
      </w:r>
      <w:proofErr w:type="gramStart"/>
      <w:r>
        <w:rPr>
          <w:rFonts w:ascii="Times" w:hAnsi="Times" w:cs="AdvPTimes"/>
          <w:color w:val="000000"/>
        </w:rPr>
        <w:t>Regression of larval shell height on hinge length by treatment and day.</w:t>
      </w:r>
      <w:proofErr w:type="gramEnd"/>
      <w:r>
        <w:rPr>
          <w:rFonts w:ascii="Times" w:hAnsi="Times" w:cs="AdvPTimes"/>
          <w:color w:val="000000"/>
        </w:rPr>
        <w:t xml:space="preserve">  Data from larvae raised under </w:t>
      </w:r>
      <w:proofErr w:type="gramStart"/>
      <w:r>
        <w:rPr>
          <w:rFonts w:ascii="Times" w:hAnsi="Times" w:cs="AdvPTimes"/>
          <w:color w:val="000000"/>
        </w:rPr>
        <w:t>Ambient</w:t>
      </w:r>
      <w:proofErr w:type="gramEnd"/>
      <w:r>
        <w:rPr>
          <w:rFonts w:ascii="Times" w:hAnsi="Times" w:cs="AdvPTimes"/>
          <w:color w:val="000000"/>
        </w:rPr>
        <w:t xml:space="preserve"> </w:t>
      </w:r>
      <w:r w:rsidRPr="00D37AAA">
        <w:rPr>
          <w:rFonts w:ascii="Times" w:hAnsi="Times" w:cs="AdvPTimes"/>
          <w:i/>
          <w:color w:val="000000"/>
        </w:rPr>
        <w:t>p</w:t>
      </w:r>
      <w:r>
        <w:rPr>
          <w:rFonts w:ascii="Times" w:hAnsi="Times" w:cs="AdvPTimes"/>
          <w:color w:val="000000"/>
        </w:rPr>
        <w:t>CO</w:t>
      </w:r>
      <w:r w:rsidRPr="00D37AAA">
        <w:rPr>
          <w:rFonts w:ascii="Times" w:hAnsi="Times" w:cs="AdvPTimes"/>
          <w:color w:val="000000"/>
          <w:vertAlign w:val="subscript"/>
        </w:rPr>
        <w:t>2</w:t>
      </w:r>
      <w:r>
        <w:rPr>
          <w:rFonts w:ascii="Times" w:hAnsi="Times" w:cs="AdvPTimes"/>
          <w:color w:val="000000"/>
        </w:rPr>
        <w:t xml:space="preserve"> conditions are represented by circles, MidCO</w:t>
      </w:r>
      <w:r w:rsidRPr="00D37AAA">
        <w:rPr>
          <w:rFonts w:ascii="Times" w:hAnsi="Times" w:cs="AdvPTimes"/>
          <w:color w:val="000000"/>
          <w:vertAlign w:val="subscript"/>
        </w:rPr>
        <w:t>2</w:t>
      </w:r>
      <w:r>
        <w:rPr>
          <w:rFonts w:ascii="Times" w:hAnsi="Times" w:cs="AdvPTimes"/>
          <w:color w:val="000000"/>
        </w:rPr>
        <w:t xml:space="preserve"> are triangles, and HighCO</w:t>
      </w:r>
      <w:r w:rsidRPr="00D37AAA">
        <w:rPr>
          <w:rFonts w:ascii="Times" w:hAnsi="Times" w:cs="AdvPTimes"/>
          <w:color w:val="000000"/>
          <w:vertAlign w:val="subscript"/>
        </w:rPr>
        <w:t>2</w:t>
      </w:r>
      <w:r>
        <w:rPr>
          <w:rFonts w:ascii="Times" w:hAnsi="Times" w:cs="AdvPTimes"/>
          <w:color w:val="000000"/>
        </w:rPr>
        <w:t xml:space="preserve"> are diamonds.  Size data from day 1 are in black and day 3 are in white.  The solid line is the regression line for </w:t>
      </w:r>
      <w:proofErr w:type="gramStart"/>
      <w:r>
        <w:rPr>
          <w:rFonts w:ascii="Times" w:hAnsi="Times" w:cs="AdvPTimes"/>
          <w:color w:val="000000"/>
        </w:rPr>
        <w:t>Ambient</w:t>
      </w:r>
      <w:proofErr w:type="gramEnd"/>
      <w:r>
        <w:rPr>
          <w:rFonts w:ascii="Times" w:hAnsi="Times" w:cs="AdvPTimes"/>
          <w:color w:val="000000"/>
        </w:rPr>
        <w:t xml:space="preserve"> data (intercept = 27.47, slope = 0.65), dotted for MidCO</w:t>
      </w:r>
      <w:r w:rsidRPr="00D37AAA">
        <w:rPr>
          <w:rFonts w:ascii="Times" w:hAnsi="Times" w:cs="AdvPTimes"/>
          <w:color w:val="000000"/>
          <w:vertAlign w:val="subscript"/>
        </w:rPr>
        <w:t>2</w:t>
      </w:r>
      <w:r>
        <w:rPr>
          <w:rFonts w:ascii="Times" w:hAnsi="Times" w:cs="AdvPTimes"/>
          <w:color w:val="000000"/>
        </w:rPr>
        <w:t xml:space="preserve"> (intercept = 15.76, slope = 0.82), and dashed for HighCO</w:t>
      </w:r>
      <w:r w:rsidRPr="00D37AAA">
        <w:rPr>
          <w:rFonts w:ascii="Times" w:hAnsi="Times" w:cs="AdvPTimes"/>
          <w:color w:val="000000"/>
          <w:vertAlign w:val="subscript"/>
        </w:rPr>
        <w:t>2</w:t>
      </w:r>
      <w:r>
        <w:rPr>
          <w:rFonts w:ascii="Times" w:hAnsi="Times" w:cs="AdvPTimes"/>
          <w:color w:val="000000"/>
        </w:rPr>
        <w:t xml:space="preserve"> (intercept = 37.10, slope = 0.36).  The slopes of all lines are statistically the same (P &gt; 0.05).</w:t>
      </w:r>
    </w:p>
    <w:p w14:paraId="21DF19A2" w14:textId="77777777" w:rsidR="00C02D9B" w:rsidRDefault="00C02D9B" w:rsidP="00C02D9B">
      <w:pPr>
        <w:pStyle w:val="Heading2"/>
      </w:pPr>
      <w:bookmarkStart w:id="24" w:name="_Toc252109989"/>
      <w:r>
        <w:t>Discussion</w:t>
      </w:r>
      <w:bookmarkEnd w:id="24"/>
    </w:p>
    <w:p w14:paraId="45C0F9AA" w14:textId="77777777" w:rsidR="005643FD" w:rsidRPr="005643FD" w:rsidRDefault="005643FD" w:rsidP="005643FD"/>
    <w:p w14:paraId="1EAFEAAE" w14:textId="0382F2C9" w:rsidR="00433E37" w:rsidRPr="00A61FA8" w:rsidRDefault="00650BE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Oyster larvae raised at HighCO</w:t>
      </w:r>
      <w:r w:rsidRPr="00D37AAA">
        <w:rPr>
          <w:rFonts w:ascii="Times" w:hAnsi="Times" w:cs="AdvPTimes"/>
          <w:color w:val="000000"/>
          <w:vertAlign w:val="subscript"/>
        </w:rPr>
        <w:t>2</w:t>
      </w:r>
      <w:r w:rsidRPr="00A61FA8">
        <w:rPr>
          <w:rFonts w:ascii="Times" w:hAnsi="Times" w:cs="AdvPTimes"/>
          <w:color w:val="000000"/>
        </w:rPr>
        <w:t xml:space="preserve"> </w:t>
      </w:r>
      <w:r w:rsidR="00433E37" w:rsidRPr="00A61FA8">
        <w:rPr>
          <w:rFonts w:ascii="Times" w:hAnsi="Times" w:cs="AdvPTimes"/>
          <w:color w:val="000000"/>
        </w:rPr>
        <w:t xml:space="preserve">showed evidence of a </w:t>
      </w:r>
      <w:r w:rsidRPr="00A61FA8">
        <w:rPr>
          <w:rFonts w:ascii="Times" w:hAnsi="Times" w:cs="AdvPTimes"/>
          <w:color w:val="000000"/>
        </w:rPr>
        <w:t>developmental delay by 3 days post-fertilization, which</w:t>
      </w:r>
      <w:r w:rsidR="00433E37" w:rsidRPr="00A61FA8">
        <w:rPr>
          <w:rFonts w:ascii="Times" w:hAnsi="Times" w:cs="AdvPTimes"/>
          <w:color w:val="000000"/>
        </w:rPr>
        <w:t xml:space="preserve"> </w:t>
      </w:r>
      <w:r w:rsidRPr="00A61FA8">
        <w:rPr>
          <w:rFonts w:ascii="Times" w:hAnsi="Times" w:cs="AdvPTimes"/>
          <w:color w:val="000000"/>
        </w:rPr>
        <w:t>caused them to be smaller and have less calcified material</w:t>
      </w:r>
      <w:r w:rsidR="00433E37" w:rsidRPr="00A61FA8">
        <w:rPr>
          <w:rFonts w:ascii="Times" w:hAnsi="Times" w:cs="AdvPTimes"/>
          <w:color w:val="000000"/>
        </w:rPr>
        <w:t xml:space="preserve"> </w:t>
      </w:r>
      <w:r w:rsidRPr="00A61FA8">
        <w:rPr>
          <w:rFonts w:ascii="Times" w:hAnsi="Times" w:cs="AdvPTimes"/>
          <w:color w:val="000000"/>
        </w:rPr>
        <w:t>than controls. These results are consistent with other</w:t>
      </w:r>
      <w:r w:rsidR="00433E37" w:rsidRPr="00A61FA8">
        <w:rPr>
          <w:rFonts w:ascii="Times" w:hAnsi="Times" w:cs="AdvPTimes"/>
          <w:color w:val="000000"/>
        </w:rPr>
        <w:t xml:space="preserve"> </w:t>
      </w:r>
      <w:r w:rsidRPr="00A61FA8">
        <w:rPr>
          <w:rFonts w:ascii="Times" w:hAnsi="Times" w:cs="AdvPTimes"/>
          <w:color w:val="000000"/>
        </w:rPr>
        <w:t xml:space="preserve">studies of </w:t>
      </w:r>
      <w:r w:rsidRPr="00D37AAA">
        <w:rPr>
          <w:rFonts w:ascii="Times" w:hAnsi="Times" w:cs="AdvPTimes"/>
          <w:i/>
          <w:color w:val="000000"/>
        </w:rPr>
        <w:t>Crassostrea</w:t>
      </w:r>
      <w:r w:rsidRPr="00A61FA8">
        <w:rPr>
          <w:rFonts w:ascii="Times" w:hAnsi="Times" w:cs="AdvPTimes"/>
          <w:color w:val="000000"/>
        </w:rPr>
        <w:t xml:space="preserve"> spp. larvae in which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w:t>
      </w:r>
      <w:r w:rsidRPr="00A61FA8">
        <w:rPr>
          <w:rFonts w:ascii="Times" w:hAnsi="Times" w:cs="AdvPTimes"/>
          <w:color w:val="000000"/>
        </w:rPr>
        <w:t>resulted in decreased growth and shell mineralization</w:t>
      </w:r>
      <w:r w:rsidR="00433E37" w:rsidRPr="00A61FA8">
        <w:rPr>
          <w:rFonts w:ascii="Times" w:hAnsi="Times" w:cs="AdvPTimes"/>
          <w:color w:val="000000"/>
        </w:rPr>
        <w:t xml:space="preserve"> </w:t>
      </w:r>
      <w:r w:rsidRPr="00A61FA8">
        <w:rPr>
          <w:rFonts w:ascii="Times" w:hAnsi="Times" w:cs="AdvPTimes"/>
          <w:color w:val="000000"/>
        </w:rPr>
        <w:t xml:space="preserve">(Kurihara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Kurihara et al.</w:t>
      </w:r>
      <w:r w:rsidR="00433E37" w:rsidRPr="00A61FA8">
        <w:rPr>
          <w:rFonts w:ascii="Times" w:hAnsi="Times" w:cs="AdvPTimes"/>
          <w:color w:val="000000"/>
        </w:rPr>
        <w:t xml:space="preserve"> </w:t>
      </w:r>
      <w:r w:rsidRPr="00A61FA8">
        <w:rPr>
          <w:rFonts w:ascii="Times" w:hAnsi="Times" w:cs="AdvPTimes"/>
          <w:color w:val="000000"/>
        </w:rPr>
        <w:t>(</w:t>
      </w:r>
      <w:r w:rsidRPr="00A61FA8">
        <w:rPr>
          <w:rFonts w:ascii="Times" w:hAnsi="Times" w:cs="AdvPTimes"/>
          <w:color w:val="0000FF"/>
        </w:rPr>
        <w:t>2007</w:t>
      </w:r>
      <w:r w:rsidRPr="00A61FA8">
        <w:rPr>
          <w:rFonts w:ascii="Times" w:hAnsi="Times" w:cs="AdvPTimes"/>
          <w:color w:val="000000"/>
        </w:rPr>
        <w:t xml:space="preserve">) raised </w:t>
      </w:r>
      <w:r w:rsidRPr="00D37AAA">
        <w:rPr>
          <w:rFonts w:ascii="Times" w:hAnsi="Times" w:cs="AdvPTimes"/>
          <w:i/>
          <w:color w:val="000000"/>
        </w:rPr>
        <w:t>C. gigas</w:t>
      </w:r>
      <w:r w:rsidRPr="00A61FA8">
        <w:rPr>
          <w:rFonts w:ascii="Times" w:hAnsi="Times" w:cs="AdvPTimes"/>
          <w:color w:val="000000"/>
        </w:rPr>
        <w:t xml:space="preserve"> to 48 h post-fertilization at an elevated</w:t>
      </w:r>
      <w:r w:rsidR="00433E37" w:rsidRPr="00A61FA8">
        <w:rPr>
          <w:rFonts w:ascii="Times" w:hAnsi="Times" w:cs="AdvPTimes"/>
          <w:color w:val="000000"/>
        </w:rPr>
        <w:t xml:space="preserve">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about 2,268 μ</w:t>
      </w:r>
      <w:r w:rsidRPr="00A61FA8">
        <w:rPr>
          <w:rFonts w:ascii="Times" w:hAnsi="Times" w:cs="AdvPTimes"/>
          <w:color w:val="000000"/>
        </w:rPr>
        <w:t xml:space="preserve">atm, much higher than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projected for the coming century, and observed a negative effect on calcification as early as 24 h post-fertilization.  The authors also observed a developmental delay in reaching the D-hinge stage at 48 h post-fertilization (Kurihara et al. </w:t>
      </w:r>
      <w:r w:rsidR="00433E37" w:rsidRPr="00A61FA8">
        <w:rPr>
          <w:rFonts w:ascii="Times" w:hAnsi="Times" w:cs="AdvPTimes"/>
          <w:color w:val="0000FF"/>
        </w:rPr>
        <w:t>2007</w:t>
      </w:r>
      <w:r w:rsidR="00433E37" w:rsidRPr="00A61FA8">
        <w:rPr>
          <w:rFonts w:ascii="Times" w:hAnsi="Times" w:cs="AdvPTimes"/>
          <w:color w:val="000000"/>
        </w:rPr>
        <w:t>). Since we did not measure growth or calcification in our larvae at 48 h post-fertilization, we are not able to draw direct comparisons with this time point, but we did observe a developmental delay by 72 h post</w:t>
      </w:r>
      <w:r w:rsidR="00D62029">
        <w:rPr>
          <w:rFonts w:ascii="Times" w:hAnsi="Times" w:cs="AdvPTimes"/>
          <w:color w:val="000000"/>
        </w:rPr>
        <w:t>-</w:t>
      </w:r>
      <w:r w:rsidR="00433E37" w:rsidRPr="00A61FA8">
        <w:rPr>
          <w:rFonts w:ascii="Times" w:hAnsi="Times" w:cs="AdvPTimes"/>
          <w:color w:val="000000"/>
        </w:rPr>
        <w:t xml:space="preserve">fertilization.  Similarly, </w:t>
      </w:r>
      <w:r w:rsidR="00433E37" w:rsidRPr="00D37AAA">
        <w:rPr>
          <w:rFonts w:ascii="Times" w:hAnsi="Times" w:cs="AdvPTimes"/>
          <w:i/>
          <w:color w:val="000000"/>
        </w:rPr>
        <w:t>C. virginica</w:t>
      </w:r>
      <w:r w:rsidR="00433E37" w:rsidRPr="00A61FA8">
        <w:rPr>
          <w:rFonts w:ascii="Times" w:hAnsi="Times" w:cs="AdvPTimes"/>
          <w:color w:val="000000"/>
        </w:rPr>
        <w:t xml:space="preserve"> larvae raised from 72 h post-fertilization through competency at different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grew more slowly at elevated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AE4FCF">
        <w:rPr>
          <w:rFonts w:ascii="Times" w:hAnsi="Times" w:cs="AdvPTimes"/>
          <w:color w:val="000000"/>
        </w:rPr>
        <w:t xml:space="preserve"> (560 and 800 µ</w:t>
      </w:r>
      <w:r w:rsidR="00433E37" w:rsidRPr="00A61FA8">
        <w:rPr>
          <w:rFonts w:ascii="Times" w:hAnsi="Times" w:cs="AdvPTimes"/>
          <w:color w:val="000000"/>
        </w:rPr>
        <w:t>atm) and biomineralized less CaCO</w:t>
      </w:r>
      <w:r w:rsidR="00433E37" w:rsidRPr="00D37AAA">
        <w:rPr>
          <w:rFonts w:ascii="Times" w:hAnsi="Times" w:cs="AdvPTimes"/>
          <w:color w:val="000000"/>
          <w:vertAlign w:val="subscript"/>
        </w:rPr>
        <w:t>3</w:t>
      </w:r>
      <w:r w:rsidR="00433E37" w:rsidRPr="00A61FA8">
        <w:rPr>
          <w:rFonts w:ascii="Times" w:hAnsi="Times" w:cs="AdvPTimes"/>
          <w:color w:val="000000"/>
        </w:rPr>
        <w:t xml:space="preserve"> than controls; however, </w:t>
      </w:r>
      <w:r w:rsidR="00433E37" w:rsidRPr="00D37AAA">
        <w:rPr>
          <w:rFonts w:ascii="Times" w:hAnsi="Times" w:cs="AdvPTimes"/>
          <w:i/>
          <w:color w:val="000000"/>
        </w:rPr>
        <w:t>Crassostrea ariakensis</w:t>
      </w:r>
      <w:r w:rsidR="00433E37" w:rsidRPr="00A61FA8">
        <w:rPr>
          <w:rFonts w:ascii="Times" w:hAnsi="Times" w:cs="AdvPTimes"/>
          <w:color w:val="000000"/>
        </w:rPr>
        <w:t xml:space="preserve"> showed no effect of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treatment </w:t>
      </w:r>
      <w:r w:rsidR="00433E37" w:rsidRPr="00A61FA8">
        <w:rPr>
          <w:rFonts w:ascii="Times" w:hAnsi="Times" w:cs="Times New Roman"/>
          <w:color w:val="000000"/>
        </w:rPr>
        <w:t xml:space="preserve">(Miller et al. </w:t>
      </w:r>
      <w:r w:rsidR="00433E37" w:rsidRPr="00A61FA8">
        <w:rPr>
          <w:rFonts w:ascii="Times" w:hAnsi="Times" w:cs="Times New Roman"/>
          <w:color w:val="0000FF"/>
        </w:rPr>
        <w:t>2009</w:t>
      </w:r>
      <w:r w:rsidR="00433E37" w:rsidRPr="00A61FA8">
        <w:rPr>
          <w:rFonts w:ascii="Times" w:hAnsi="Times" w:cs="Times New Roman"/>
          <w:color w:val="000000"/>
        </w:rPr>
        <w:t>). It is likely the observed differences</w:t>
      </w:r>
      <w:r w:rsidR="00433E37" w:rsidRPr="00A61FA8">
        <w:rPr>
          <w:rFonts w:ascii="Times" w:hAnsi="Times" w:cs="AdvPTimes"/>
          <w:color w:val="000000"/>
        </w:rPr>
        <w:t xml:space="preserve"> </w:t>
      </w:r>
      <w:r w:rsidR="00433E37" w:rsidRPr="00A61FA8">
        <w:rPr>
          <w:rFonts w:ascii="Times" w:hAnsi="Times" w:cs="Times New Roman"/>
          <w:color w:val="000000"/>
        </w:rPr>
        <w:t xml:space="preserve">between the studies are related to the much higher </w:t>
      </w:r>
      <w:r w:rsidR="00433E37" w:rsidRPr="00D37AAA">
        <w:rPr>
          <w:rFonts w:ascii="Times" w:hAnsi="Times" w:cs="Times New Roman"/>
          <w:i/>
          <w:color w:val="000000"/>
        </w:rPr>
        <w:t>p</w:t>
      </w:r>
      <w:r w:rsidR="00433E37" w:rsidRPr="00A61FA8">
        <w:rPr>
          <w:rFonts w:ascii="Times" w:hAnsi="Times" w:cs="Times New Roman"/>
          <w:color w:val="000000"/>
        </w:rPr>
        <w:t>CO</w:t>
      </w:r>
      <w:r w:rsidR="00433E37" w:rsidRPr="00D37AAA">
        <w:rPr>
          <w:rFonts w:ascii="Times" w:hAnsi="Times" w:cs="Times New Roman"/>
          <w:color w:val="000000"/>
          <w:vertAlign w:val="subscript"/>
        </w:rPr>
        <w:t>2</w:t>
      </w:r>
      <w:r w:rsidR="00433E37" w:rsidRPr="00A61FA8">
        <w:rPr>
          <w:rFonts w:ascii="Times" w:hAnsi="Times" w:cs="AdvPTimes"/>
          <w:color w:val="000000"/>
        </w:rPr>
        <w:t xml:space="preserve"> </w:t>
      </w:r>
      <w:r w:rsidR="00433E37" w:rsidRPr="00A61FA8">
        <w:rPr>
          <w:rFonts w:ascii="Times" w:hAnsi="Times" w:cs="Times New Roman"/>
          <w:color w:val="000000"/>
        </w:rPr>
        <w:t>level used by Kurihara et al. (</w:t>
      </w:r>
      <w:r w:rsidR="00433E37" w:rsidRPr="00A61FA8">
        <w:rPr>
          <w:rFonts w:ascii="Times" w:hAnsi="Times" w:cs="Times New Roman"/>
          <w:color w:val="0000FF"/>
        </w:rPr>
        <w:t>2007</w:t>
      </w:r>
      <w:r w:rsidR="00433E37" w:rsidRPr="00A61FA8">
        <w:rPr>
          <w:rFonts w:ascii="Times" w:hAnsi="Times" w:cs="Times New Roman"/>
          <w:color w:val="000000"/>
        </w:rPr>
        <w:t>) and species- and</w:t>
      </w:r>
      <w:r w:rsidR="00433E37" w:rsidRPr="00A61FA8">
        <w:rPr>
          <w:rFonts w:ascii="Times" w:hAnsi="Times" w:cs="AdvPTimes"/>
          <w:color w:val="000000"/>
        </w:rPr>
        <w:t xml:space="preserve"> </w:t>
      </w:r>
      <w:r w:rsidR="00433E37" w:rsidRPr="00A61FA8">
        <w:rPr>
          <w:rFonts w:ascii="Times" w:hAnsi="Times" w:cs="Times New Roman"/>
          <w:color w:val="000000"/>
        </w:rPr>
        <w:t>population-specific differences in acclimation to ocean</w:t>
      </w:r>
      <w:r w:rsidR="00433E37" w:rsidRPr="00A61FA8">
        <w:rPr>
          <w:rFonts w:ascii="Times" w:hAnsi="Times" w:cs="AdvPTimes"/>
          <w:color w:val="000000"/>
        </w:rPr>
        <w:t xml:space="preserve"> </w:t>
      </w:r>
      <w:r w:rsidR="00433E37" w:rsidRPr="00A61FA8">
        <w:rPr>
          <w:rFonts w:ascii="Times" w:hAnsi="Times" w:cs="Times New Roman"/>
          <w:color w:val="000000"/>
        </w:rPr>
        <w:t>acidification.</w:t>
      </w:r>
    </w:p>
    <w:p w14:paraId="4C333436" w14:textId="26C39A04" w:rsidR="00433E37" w:rsidRPr="00A61FA8" w:rsidRDefault="00433E37" w:rsidP="00426D9F">
      <w:pPr>
        <w:widowControl w:val="0"/>
        <w:autoSpaceDE w:val="0"/>
        <w:autoSpaceDN w:val="0"/>
        <w:adjustRightInd w:val="0"/>
        <w:spacing w:line="360" w:lineRule="auto"/>
        <w:ind w:firstLine="720"/>
        <w:rPr>
          <w:rFonts w:ascii="Times" w:hAnsi="Times" w:cs="Times New Roman"/>
          <w:color w:val="000000"/>
        </w:rPr>
      </w:pPr>
      <w:r w:rsidRPr="00A61FA8">
        <w:rPr>
          <w:rFonts w:ascii="Times" w:hAnsi="Times" w:cs="Times New Roman"/>
          <w:color w:val="000000"/>
        </w:rPr>
        <w:t xml:space="preserve">The developmental delay is evidenced by similar growth trajectories across treatments (Figs. </w:t>
      </w:r>
      <w:r w:rsidR="00D62029">
        <w:rPr>
          <w:rFonts w:ascii="Times" w:hAnsi="Times" w:cs="Times New Roman"/>
          <w:color w:val="000000"/>
        </w:rPr>
        <w:t>I.</w:t>
      </w:r>
      <w:r w:rsidRPr="00A61FA8">
        <w:rPr>
          <w:rFonts w:ascii="Times" w:hAnsi="Times" w:cs="Times New Roman"/>
          <w:color w:val="0000FF"/>
        </w:rPr>
        <w:t>3</w:t>
      </w:r>
      <w:r w:rsidRPr="00A61FA8">
        <w:rPr>
          <w:rFonts w:ascii="Times" w:hAnsi="Times" w:cs="Times New Roman"/>
          <w:color w:val="000000"/>
        </w:rPr>
        <w:t xml:space="preserve">, </w:t>
      </w:r>
      <w:r w:rsidR="00D62029">
        <w:rPr>
          <w:rFonts w:ascii="Times" w:hAnsi="Times" w:cs="Times New Roman"/>
          <w:color w:val="000000"/>
        </w:rPr>
        <w:t>I.</w:t>
      </w:r>
      <w:r w:rsidRPr="00A61FA8">
        <w:rPr>
          <w:rFonts w:ascii="Times" w:hAnsi="Times" w:cs="Times New Roman"/>
          <w:color w:val="0000FF"/>
        </w:rPr>
        <w:t>6</w:t>
      </w:r>
      <w:r w:rsidRPr="00A61FA8">
        <w:rPr>
          <w:rFonts w:ascii="Times" w:hAnsi="Times" w:cs="Times New Roman"/>
          <w:color w:val="000000"/>
        </w:rPr>
        <w:t>) coupled with the smaller size of larvae in the HighCO</w:t>
      </w:r>
      <w:r w:rsidRPr="00D37AAA">
        <w:rPr>
          <w:rFonts w:ascii="Times" w:hAnsi="Times" w:cs="Times New Roman"/>
          <w:color w:val="000000"/>
          <w:vertAlign w:val="subscript"/>
        </w:rPr>
        <w:t>2</w:t>
      </w:r>
      <w:r w:rsidRPr="00A61FA8">
        <w:rPr>
          <w:rFonts w:ascii="Times" w:hAnsi="Times" w:cs="Times New Roman"/>
          <w:color w:val="000000"/>
        </w:rPr>
        <w:t xml:space="preserve"> treatment. This suggests that change in size is not a direct effect of ocean acidification on shell growth and maintenance. In a study comparing faster growing hybrid </w:t>
      </w:r>
      <w:r w:rsidRPr="00D37AAA">
        <w:rPr>
          <w:rFonts w:ascii="Times" w:hAnsi="Times" w:cs="Times New Roman"/>
          <w:i/>
          <w:color w:val="000000"/>
        </w:rPr>
        <w:t>C. gigas</w:t>
      </w:r>
      <w:r w:rsidRPr="00A61FA8">
        <w:rPr>
          <w:rFonts w:ascii="Times" w:hAnsi="Times" w:cs="Times New Roman"/>
          <w:color w:val="000000"/>
        </w:rPr>
        <w:t xml:space="preserve"> larvae to slower </w:t>
      </w:r>
      <w:r w:rsidRPr="00A61FA8">
        <w:rPr>
          <w:rFonts w:ascii="Times" w:hAnsi="Times" w:cs="AdvPTimes"/>
          <w:color w:val="000000"/>
        </w:rPr>
        <w:t>growing inbred larvae, slower growth was attributed to</w:t>
      </w:r>
      <w:r w:rsidRPr="00A61FA8">
        <w:rPr>
          <w:rFonts w:ascii="Times" w:hAnsi="Times" w:cs="Times New Roman"/>
          <w:color w:val="000000"/>
        </w:rPr>
        <w:t xml:space="preserve"> </w:t>
      </w:r>
      <w:r w:rsidRPr="00A61FA8">
        <w:rPr>
          <w:rFonts w:ascii="Times" w:hAnsi="Times" w:cs="AdvPTimes"/>
          <w:color w:val="000000"/>
        </w:rPr>
        <w:t>reduced feeding rate and differing allocation of internal</w:t>
      </w:r>
      <w:r w:rsidRPr="00A61FA8">
        <w:rPr>
          <w:rFonts w:ascii="Times" w:hAnsi="Times" w:cs="Times New Roman"/>
          <w:color w:val="000000"/>
        </w:rPr>
        <w:t xml:space="preserve"> </w:t>
      </w:r>
      <w:r w:rsidRPr="00A61FA8">
        <w:rPr>
          <w:rFonts w:ascii="Times" w:hAnsi="Times" w:cs="AdvPTimes"/>
          <w:color w:val="000000"/>
        </w:rPr>
        <w:t xml:space="preserve">energy reserves for metabolic processes (Pace et al. </w:t>
      </w:r>
      <w:r w:rsidRPr="00A61FA8">
        <w:rPr>
          <w:rFonts w:ascii="Times" w:hAnsi="Times" w:cs="AdvPTimes"/>
          <w:color w:val="0000FF"/>
        </w:rPr>
        <w:t>2006</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 xml:space="preserve">The stress of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can induce similar physiological</w:t>
      </w:r>
      <w:r w:rsidRPr="00A61FA8">
        <w:rPr>
          <w:rFonts w:ascii="Times" w:hAnsi="Times" w:cs="Times New Roman"/>
          <w:color w:val="000000"/>
        </w:rPr>
        <w:t xml:space="preserve"> </w:t>
      </w:r>
      <w:r w:rsidRPr="00A61FA8">
        <w:rPr>
          <w:rFonts w:ascii="Times" w:hAnsi="Times" w:cs="AdvPTimes"/>
          <w:color w:val="000000"/>
        </w:rPr>
        <w:t>changes via effects on metabolic demands, resulting in a</w:t>
      </w:r>
      <w:r w:rsidRPr="00A61FA8">
        <w:rPr>
          <w:rFonts w:ascii="Times" w:hAnsi="Times" w:cs="Times New Roman"/>
          <w:color w:val="000000"/>
        </w:rPr>
        <w:t xml:space="preserve"> </w:t>
      </w:r>
      <w:r w:rsidRPr="00A61FA8">
        <w:rPr>
          <w:rFonts w:ascii="Times" w:hAnsi="Times" w:cs="AdvPTimes"/>
          <w:color w:val="000000"/>
        </w:rPr>
        <w:t xml:space="preserve">developmentally delayed phenotype (Stumpp et al. </w:t>
      </w:r>
      <w:r w:rsidRPr="00A61FA8">
        <w:rPr>
          <w:rFonts w:ascii="Times" w:hAnsi="Times" w:cs="AdvPTimes"/>
          <w:color w:val="0000FF"/>
        </w:rPr>
        <w:t>2011a</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It is difficult to detect developmental delay with complete</w:t>
      </w:r>
      <w:r w:rsidRPr="00A61FA8">
        <w:rPr>
          <w:rFonts w:ascii="Times" w:hAnsi="Times" w:cs="Times New Roman"/>
          <w:color w:val="000000"/>
        </w:rPr>
        <w:t xml:space="preserve"> </w:t>
      </w:r>
      <w:r w:rsidRPr="00A61FA8">
        <w:rPr>
          <w:rFonts w:ascii="Times" w:hAnsi="Times" w:cs="AdvPTimes"/>
          <w:color w:val="000000"/>
        </w:rPr>
        <w:t>confidence in studies that do not follow larvae through to</w:t>
      </w:r>
      <w:r w:rsidRPr="00A61FA8">
        <w:rPr>
          <w:rFonts w:ascii="Times" w:hAnsi="Times" w:cs="Times New Roman"/>
          <w:color w:val="000000"/>
        </w:rPr>
        <w:t xml:space="preserve"> </w:t>
      </w:r>
      <w:r w:rsidRPr="00A61FA8">
        <w:rPr>
          <w:rFonts w:ascii="Times" w:hAnsi="Times" w:cs="AdvPTimes"/>
          <w:color w:val="000000"/>
        </w:rPr>
        <w:t xml:space="preserve">settlement. In one such study, larval </w:t>
      </w:r>
      <w:r w:rsidRPr="00D37AAA">
        <w:rPr>
          <w:rFonts w:ascii="Times" w:hAnsi="Times" w:cs="AdvPTimes"/>
          <w:i/>
          <w:color w:val="000000"/>
        </w:rPr>
        <w:t>Strongylocentrotus</w:t>
      </w:r>
      <w:r w:rsidRPr="00D37AAA">
        <w:rPr>
          <w:rFonts w:ascii="Times" w:hAnsi="Times" w:cs="Times New Roman"/>
          <w:i/>
          <w:color w:val="000000"/>
        </w:rPr>
        <w:t xml:space="preserve"> </w:t>
      </w:r>
      <w:r w:rsidRPr="00D37AAA">
        <w:rPr>
          <w:rFonts w:ascii="Times" w:hAnsi="Times" w:cs="AdvPTimes"/>
          <w:i/>
          <w:color w:val="000000"/>
        </w:rPr>
        <w:t>purpuratus</w:t>
      </w:r>
      <w:r w:rsidRPr="00A61FA8">
        <w:rPr>
          <w:rFonts w:ascii="Times" w:hAnsi="Times" w:cs="AdvPTimes"/>
          <w:color w:val="000000"/>
        </w:rPr>
        <w:t xml:space="preserve"> were exposed to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throughout their</w:t>
      </w:r>
      <w:r w:rsidRPr="00A61FA8">
        <w:rPr>
          <w:rFonts w:ascii="Times" w:hAnsi="Times" w:cs="Times New Roman"/>
          <w:color w:val="000000"/>
        </w:rPr>
        <w:t xml:space="preserve"> </w:t>
      </w:r>
      <w:r w:rsidRPr="00A61FA8">
        <w:rPr>
          <w:rFonts w:ascii="Times" w:hAnsi="Times" w:cs="AdvPTimes"/>
          <w:color w:val="000000"/>
        </w:rPr>
        <w:t>larval period, and from this perspective, it was apparent that</w:t>
      </w:r>
      <w:r w:rsidRPr="00A61FA8">
        <w:rPr>
          <w:rFonts w:ascii="Times" w:hAnsi="Times" w:cs="Times New Roman"/>
          <w:color w:val="000000"/>
        </w:rPr>
        <w:t xml:space="preserve"> </w:t>
      </w:r>
      <w:r w:rsidRPr="00A61FA8">
        <w:rPr>
          <w:rFonts w:ascii="Times" w:hAnsi="Times" w:cs="AdvPTimes"/>
          <w:color w:val="000000"/>
        </w:rPr>
        <w:t>ocean acidification caused a delay in development, although</w:t>
      </w:r>
      <w:r w:rsidRPr="00A61FA8">
        <w:rPr>
          <w:rFonts w:ascii="Times" w:hAnsi="Times" w:cs="Times New Roman"/>
          <w:color w:val="000000"/>
        </w:rPr>
        <w:t xml:space="preserve"> </w:t>
      </w:r>
      <w:r w:rsidRPr="00A61FA8">
        <w:rPr>
          <w:rFonts w:ascii="Times" w:hAnsi="Times" w:cs="AdvPTimes"/>
          <w:color w:val="000000"/>
        </w:rPr>
        <w:t>at discrete time points, this delay could be interpreted as</w:t>
      </w:r>
      <w:r w:rsidRPr="00A61FA8">
        <w:rPr>
          <w:rFonts w:ascii="Times" w:hAnsi="Times" w:cs="Times New Roman"/>
          <w:color w:val="000000"/>
        </w:rPr>
        <w:t xml:space="preserve"> </w:t>
      </w:r>
      <w:r w:rsidRPr="00A61FA8">
        <w:rPr>
          <w:rFonts w:ascii="Times" w:hAnsi="Times" w:cs="AdvPTimes"/>
          <w:color w:val="000000"/>
        </w:rPr>
        <w:t xml:space="preserve">overall smaller size (Stumpp et al. </w:t>
      </w:r>
      <w:r w:rsidRPr="00A61FA8">
        <w:rPr>
          <w:rFonts w:ascii="Times" w:hAnsi="Times" w:cs="AdvPTimes"/>
          <w:color w:val="0000FF"/>
        </w:rPr>
        <w:t>2011a</w:t>
      </w:r>
      <w:r w:rsidRPr="00A61FA8">
        <w:rPr>
          <w:rFonts w:ascii="Times" w:hAnsi="Times" w:cs="AdvPTimes"/>
          <w:color w:val="000000"/>
        </w:rPr>
        <w:t>). Developmental</w:t>
      </w:r>
      <w:r w:rsidRPr="00A61FA8">
        <w:rPr>
          <w:rFonts w:ascii="Times" w:hAnsi="Times" w:cs="Times New Roman"/>
          <w:color w:val="000000"/>
        </w:rPr>
        <w:t xml:space="preserve"> </w:t>
      </w:r>
      <w:r w:rsidRPr="00A61FA8">
        <w:rPr>
          <w:rFonts w:ascii="Times" w:hAnsi="Times" w:cs="AdvPTimes"/>
          <w:color w:val="000000"/>
        </w:rPr>
        <w:t>delay may give these species the energetic resources they</w:t>
      </w:r>
      <w:r w:rsidRPr="00A61FA8">
        <w:rPr>
          <w:rFonts w:ascii="Times" w:hAnsi="Times" w:cs="Times New Roman"/>
          <w:color w:val="000000"/>
        </w:rPr>
        <w:t xml:space="preserve"> </w:t>
      </w:r>
      <w:r w:rsidRPr="00A61FA8">
        <w:rPr>
          <w:rFonts w:ascii="Times" w:hAnsi="Times" w:cs="AdvPTimes"/>
          <w:color w:val="000000"/>
        </w:rPr>
        <w:t>need to survive stress and reach the later developmental</w:t>
      </w:r>
      <w:r w:rsidRPr="00A61FA8">
        <w:rPr>
          <w:rFonts w:ascii="Times" w:hAnsi="Times" w:cs="Times New Roman"/>
          <w:color w:val="000000"/>
        </w:rPr>
        <w:t xml:space="preserve"> </w:t>
      </w:r>
      <w:r w:rsidRPr="00A61FA8">
        <w:rPr>
          <w:rFonts w:ascii="Times" w:hAnsi="Times" w:cs="AdvPTimes"/>
          <w:color w:val="000000"/>
        </w:rPr>
        <w:t>stages of metamorphosis and settlement.</w:t>
      </w:r>
      <w:r w:rsidR="00D37AAA">
        <w:rPr>
          <w:rFonts w:ascii="Times" w:hAnsi="Times" w:cs="AdvPTimes"/>
          <w:color w:val="000000"/>
        </w:rPr>
        <w:t xml:space="preserve">  </w:t>
      </w:r>
      <w:r w:rsidRPr="00A61FA8">
        <w:rPr>
          <w:rFonts w:ascii="Times" w:hAnsi="Times" w:cs="AdvPTimes"/>
          <w:color w:val="000000"/>
        </w:rPr>
        <w:t>However, a delay in</w:t>
      </w:r>
      <w:r w:rsidRPr="00A61FA8">
        <w:rPr>
          <w:rFonts w:ascii="Times" w:hAnsi="Times" w:cs="Times New Roman"/>
          <w:color w:val="000000"/>
        </w:rPr>
        <w:t xml:space="preserve"> </w:t>
      </w:r>
      <w:r w:rsidRPr="00A61FA8">
        <w:rPr>
          <w:rFonts w:ascii="Times" w:hAnsi="Times" w:cs="AdvPTimes"/>
          <w:color w:val="000000"/>
        </w:rPr>
        <w:t>development opens the possibility for a host of other complications</w:t>
      </w:r>
      <w:r w:rsidRPr="00A61FA8">
        <w:rPr>
          <w:rFonts w:ascii="Times" w:hAnsi="Times" w:cs="Times New Roman"/>
          <w:color w:val="000000"/>
        </w:rPr>
        <w:t xml:space="preserve"> </w:t>
      </w:r>
      <w:r w:rsidRPr="00A61FA8">
        <w:rPr>
          <w:rFonts w:ascii="Times" w:hAnsi="Times" w:cs="AdvPTimes"/>
          <w:color w:val="000000"/>
        </w:rPr>
        <w:t>for pelagic larvae, such as greater potential to be</w:t>
      </w:r>
      <w:r w:rsidRPr="00A61FA8">
        <w:rPr>
          <w:rFonts w:ascii="Times" w:hAnsi="Times" w:cs="Times New Roman"/>
          <w:color w:val="000000"/>
        </w:rPr>
        <w:t xml:space="preserve"> </w:t>
      </w:r>
      <w:r w:rsidRPr="00A61FA8">
        <w:rPr>
          <w:rFonts w:ascii="Times" w:hAnsi="Times" w:cs="AdvPTimes"/>
          <w:color w:val="000000"/>
        </w:rPr>
        <w:t xml:space="preserve">advected to unsuitable habitat (Strathmann </w:t>
      </w:r>
      <w:r w:rsidRPr="00A61FA8">
        <w:rPr>
          <w:rFonts w:ascii="Times" w:hAnsi="Times" w:cs="AdvPTimes"/>
          <w:color w:val="0000FF"/>
        </w:rPr>
        <w:t>1985</w:t>
      </w:r>
      <w:r w:rsidRPr="00A61FA8">
        <w:rPr>
          <w:rFonts w:ascii="Times" w:hAnsi="Times" w:cs="AdvPTimes"/>
          <w:color w:val="000000"/>
        </w:rPr>
        <w:t>), greater</w:t>
      </w:r>
      <w:r w:rsidRPr="00A61FA8">
        <w:rPr>
          <w:rFonts w:ascii="Times" w:hAnsi="Times" w:cs="Times New Roman"/>
          <w:color w:val="000000"/>
        </w:rPr>
        <w:t xml:space="preserve"> </w:t>
      </w:r>
      <w:r w:rsidRPr="00A61FA8">
        <w:rPr>
          <w:rFonts w:ascii="Times" w:hAnsi="Times" w:cs="AdvPTimes"/>
          <w:color w:val="000000"/>
        </w:rPr>
        <w:t>chance of being exposed to predators (Underwood and</w:t>
      </w:r>
      <w:r w:rsidRPr="00A61FA8">
        <w:rPr>
          <w:rFonts w:ascii="Times" w:hAnsi="Times" w:cs="Times New Roman"/>
          <w:color w:val="000000"/>
        </w:rPr>
        <w:t xml:space="preserve"> </w:t>
      </w:r>
      <w:r w:rsidRPr="00A61FA8">
        <w:rPr>
          <w:rFonts w:ascii="Times" w:hAnsi="Times" w:cs="AdvPTimes"/>
          <w:color w:val="000000"/>
        </w:rPr>
        <w:t xml:space="preserve">Fairweather </w:t>
      </w:r>
      <w:r w:rsidRPr="00A61FA8">
        <w:rPr>
          <w:rFonts w:ascii="Times" w:hAnsi="Times" w:cs="AdvPTimes"/>
          <w:color w:val="0000FF"/>
        </w:rPr>
        <w:t>1989</w:t>
      </w:r>
      <w:r w:rsidRPr="00A61FA8">
        <w:rPr>
          <w:rFonts w:ascii="Times" w:hAnsi="Times" w:cs="AdvPTimes"/>
          <w:color w:val="000000"/>
        </w:rPr>
        <w:t>), and an overall longer time in the water</w:t>
      </w:r>
      <w:r w:rsidRPr="00A61FA8">
        <w:rPr>
          <w:rFonts w:ascii="Times" w:hAnsi="Times" w:cs="Times New Roman"/>
          <w:color w:val="000000"/>
        </w:rPr>
        <w:t xml:space="preserve"> </w:t>
      </w:r>
      <w:r w:rsidRPr="00A61FA8">
        <w:rPr>
          <w:rFonts w:ascii="Times" w:hAnsi="Times" w:cs="AdvPTimes"/>
          <w:color w:val="000000"/>
        </w:rPr>
        <w:t>column where environmental conditions are variable and</w:t>
      </w:r>
      <w:r w:rsidRPr="00A61FA8">
        <w:rPr>
          <w:rFonts w:ascii="Times" w:hAnsi="Times" w:cs="Times New Roman"/>
          <w:color w:val="000000"/>
        </w:rPr>
        <w:t xml:space="preserve"> </w:t>
      </w:r>
      <w:r w:rsidRPr="00A61FA8">
        <w:rPr>
          <w:rFonts w:ascii="Times" w:hAnsi="Times" w:cs="AdvPTimes"/>
          <w:color w:val="000000"/>
        </w:rPr>
        <w:t>risky for a free-floating larva.</w:t>
      </w:r>
    </w:p>
    <w:p w14:paraId="5A691363" w14:textId="38F85EED" w:rsidR="00A61FA8" w:rsidRPr="00A61FA8" w:rsidRDefault="00433E37"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A greater percentage of the larvae in the HighCO</w:t>
      </w:r>
      <w:r w:rsidRPr="00D37AAA">
        <w:rPr>
          <w:rFonts w:ascii="Times" w:hAnsi="Times" w:cs="AdvPTimes"/>
          <w:color w:val="000000"/>
          <w:vertAlign w:val="subscript"/>
        </w:rPr>
        <w:t>2</w:t>
      </w:r>
      <w:r w:rsidRPr="00A61FA8">
        <w:rPr>
          <w:rFonts w:ascii="Times" w:hAnsi="Times" w:cs="AdvPTimes"/>
          <w:color w:val="000000"/>
        </w:rPr>
        <w:t xml:space="preserve"> treatment had shell present by 24 h </w:t>
      </w:r>
      <w:r w:rsidR="00D62029">
        <w:rPr>
          <w:rFonts w:ascii="Times" w:hAnsi="Times" w:cs="AdvPTimes"/>
          <w:color w:val="000000"/>
        </w:rPr>
        <w:t>post-</w:t>
      </w:r>
      <w:r w:rsidRPr="00A61FA8">
        <w:rPr>
          <w:rFonts w:ascii="Times" w:hAnsi="Times" w:cs="AdvPTimes"/>
          <w:color w:val="000000"/>
        </w:rPr>
        <w:t>fertilization compared with both Ambient and MidCO</w:t>
      </w:r>
      <w:r w:rsidRPr="00D37AAA">
        <w:rPr>
          <w:rFonts w:ascii="Times" w:hAnsi="Times" w:cs="AdvPTimes"/>
          <w:color w:val="000000"/>
          <w:vertAlign w:val="subscript"/>
        </w:rPr>
        <w:t>2</w:t>
      </w:r>
      <w:r w:rsidRPr="00A61FA8">
        <w:rPr>
          <w:rFonts w:ascii="Times" w:hAnsi="Times" w:cs="AdvPTimes"/>
          <w:color w:val="000000"/>
        </w:rPr>
        <w:t>. The impact of ocean acidification on larval invertebrates can change in direction and magnitude as the larvae switch from a non-feeding to a feeding stage. The larvae at HighCO</w:t>
      </w:r>
      <w:r w:rsidRPr="00D37AAA">
        <w:rPr>
          <w:rFonts w:ascii="Times" w:hAnsi="Times" w:cs="AdvPTimes"/>
          <w:color w:val="000000"/>
          <w:vertAlign w:val="subscript"/>
        </w:rPr>
        <w:t>2</w:t>
      </w:r>
      <w:r w:rsidRPr="00A61FA8">
        <w:rPr>
          <w:rFonts w:ascii="Times" w:hAnsi="Times" w:cs="AdvPTimes"/>
          <w:color w:val="000000"/>
        </w:rPr>
        <w:t xml:space="preserve"> were most likely able to maintain a normal development</w:t>
      </w:r>
      <w:r w:rsidR="00D37AAA">
        <w:rPr>
          <w:rFonts w:ascii="Times" w:hAnsi="Times" w:cs="AdvPTimes"/>
          <w:color w:val="000000"/>
        </w:rPr>
        <w:t>al</w:t>
      </w:r>
      <w:r w:rsidRPr="00A61FA8">
        <w:rPr>
          <w:rFonts w:ascii="Times" w:hAnsi="Times" w:cs="AdvPTimes"/>
          <w:color w:val="000000"/>
        </w:rPr>
        <w:t xml:space="preserve"> rate and calcified s</w:t>
      </w:r>
      <w:r w:rsidR="00D37AAA">
        <w:rPr>
          <w:rFonts w:ascii="Times" w:hAnsi="Times" w:cs="AdvPTimes"/>
          <w:color w:val="000000"/>
        </w:rPr>
        <w:t>tructures early in development</w:t>
      </w:r>
      <w:r w:rsidRPr="00A61FA8">
        <w:rPr>
          <w:rFonts w:ascii="Times" w:hAnsi="Times" w:cs="AdvPTimes"/>
          <w:color w:val="000000"/>
        </w:rPr>
        <w:t xml:space="preserve"> because </w:t>
      </w:r>
      <w:proofErr w:type="gramStart"/>
      <w:r w:rsidRPr="00A61FA8">
        <w:rPr>
          <w:rFonts w:ascii="Times" w:hAnsi="Times" w:cs="AdvPTimes"/>
          <w:color w:val="000000"/>
        </w:rPr>
        <w:t>an increased metabolic rate would have been supported by sufficient maternal energy resources</w:t>
      </w:r>
      <w:proofErr w:type="gramEnd"/>
      <w:r w:rsidRPr="00A61FA8">
        <w:rPr>
          <w:rFonts w:ascii="Times" w:hAnsi="Times" w:cs="AdvPTimes"/>
          <w:color w:val="000000"/>
        </w:rPr>
        <w:t xml:space="preserve">. In early development, </w:t>
      </w:r>
      <w:r w:rsidRPr="00D37AAA">
        <w:rPr>
          <w:rFonts w:ascii="Times" w:hAnsi="Times" w:cs="AdvPTimes"/>
          <w:i/>
          <w:color w:val="000000"/>
        </w:rPr>
        <w:t>C. gigas</w:t>
      </w:r>
      <w:r w:rsidRPr="00A61FA8">
        <w:rPr>
          <w:rFonts w:ascii="Times" w:hAnsi="Times" w:cs="AdvPTimes"/>
          <w:color w:val="000000"/>
        </w:rPr>
        <w:t xml:space="preserve"> depend on maternal lipid reserves, but after 24 h in the plankton, the larvae become dependent upon external resources (Gallager et al. </w:t>
      </w:r>
      <w:r w:rsidRPr="00A61FA8">
        <w:rPr>
          <w:rFonts w:ascii="Times" w:hAnsi="Times" w:cs="AdvPTimes"/>
          <w:color w:val="0000FF"/>
        </w:rPr>
        <w:t>1986</w:t>
      </w:r>
      <w:r w:rsidRPr="00A61FA8">
        <w:rPr>
          <w:rFonts w:ascii="Times" w:hAnsi="Times" w:cs="AdvPTimes"/>
          <w:color w:val="000000"/>
        </w:rPr>
        <w:t xml:space="preserve">). Environmental stress frequently instigates an elevated metabolic rate (Lannig et al. </w:t>
      </w:r>
      <w:r w:rsidRPr="00A61FA8">
        <w:rPr>
          <w:rFonts w:ascii="Times" w:hAnsi="Times" w:cs="AdvPTimes"/>
          <w:color w:val="0000FF"/>
        </w:rPr>
        <w:t>2010</w:t>
      </w:r>
      <w:r w:rsidRPr="00A61FA8">
        <w:rPr>
          <w:rFonts w:ascii="Times" w:hAnsi="Times" w:cs="AdvPTimes"/>
          <w:color w:val="000000"/>
        </w:rPr>
        <w:t xml:space="preserve">; Stumpp et al. </w:t>
      </w:r>
      <w:r w:rsidRPr="00A61FA8">
        <w:rPr>
          <w:rFonts w:ascii="Times" w:hAnsi="Times" w:cs="AdvPTimes"/>
          <w:color w:val="0000FF"/>
        </w:rPr>
        <w:t>2011a</w:t>
      </w:r>
      <w:r w:rsidRPr="00A61FA8">
        <w:rPr>
          <w:rFonts w:ascii="Times" w:hAnsi="Times" w:cs="AdvPTimes"/>
          <w:color w:val="000000"/>
        </w:rPr>
        <w:t>). During the non-feeding stage, larvae may have enough maternal resources to support their increased metabolic rate and sustain normal or even accelerated growth and development. In the non-feeding lecithotrophic larvae of the common sun star (</w:t>
      </w:r>
      <w:r w:rsidRPr="00D37AAA">
        <w:rPr>
          <w:rFonts w:ascii="Times" w:hAnsi="Times" w:cs="AdvPTimes"/>
          <w:i/>
          <w:color w:val="000000"/>
        </w:rPr>
        <w:t>Crossaster papposus</w:t>
      </w:r>
      <w:r w:rsidRPr="00A61FA8">
        <w:rPr>
          <w:rFonts w:ascii="Times" w:hAnsi="Times" w:cs="AdvPTimes"/>
          <w:color w:val="000000"/>
        </w:rPr>
        <w:t xml:space="preserve">), larvae at low pH developed and grew faster than those in ambient conditions (Dupont et al. </w:t>
      </w:r>
      <w:r w:rsidRPr="00A61FA8">
        <w:rPr>
          <w:rFonts w:ascii="Times" w:hAnsi="Times" w:cs="AdvPTimes"/>
          <w:color w:val="0000FF"/>
        </w:rPr>
        <w:t>2010</w:t>
      </w:r>
      <w:r w:rsidRPr="00A61FA8">
        <w:rPr>
          <w:rFonts w:ascii="Times" w:hAnsi="Times" w:cs="AdvPTimes"/>
          <w:color w:val="000000"/>
        </w:rPr>
        <w:t>).  Once the metabolic switch to external resources occurs, the larvae may not be able to get enough resources to sustain</w:t>
      </w:r>
      <w:r w:rsidR="00A61FA8" w:rsidRPr="00A61FA8">
        <w:rPr>
          <w:rFonts w:ascii="Times" w:hAnsi="Times" w:cs="AdvPTimes"/>
          <w:color w:val="000000"/>
        </w:rPr>
        <w:t xml:space="preserve"> </w:t>
      </w:r>
      <w:r w:rsidRPr="00A61FA8">
        <w:rPr>
          <w:rFonts w:ascii="Times" w:hAnsi="Times" w:cs="AdvPTimes"/>
          <w:color w:val="000000"/>
        </w:rPr>
        <w:t>the increased metabolic rate as well as normal development.</w:t>
      </w:r>
      <w:r w:rsidR="00A61FA8" w:rsidRPr="00A61FA8">
        <w:rPr>
          <w:rFonts w:ascii="Times" w:hAnsi="Times" w:cs="AdvPTimes"/>
          <w:color w:val="000000"/>
        </w:rPr>
        <w:t xml:space="preserve"> </w:t>
      </w:r>
      <w:r w:rsidRPr="00A61FA8">
        <w:rPr>
          <w:rFonts w:ascii="Times" w:hAnsi="Times" w:cs="AdvPTimes"/>
          <w:color w:val="000000"/>
        </w:rPr>
        <w:t>A similar trend is seen in larval purple sea urchins,</w:t>
      </w:r>
      <w:r w:rsidR="00A61FA8"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Ocean acidification had a larger impact on</w:t>
      </w:r>
      <w:r w:rsidR="00A61FA8" w:rsidRPr="00A61FA8">
        <w:rPr>
          <w:rFonts w:ascii="Times" w:hAnsi="Times" w:cs="AdvPTimes"/>
          <w:color w:val="000000"/>
        </w:rPr>
        <w:t xml:space="preserve"> </w:t>
      </w:r>
      <w:r w:rsidRPr="00A61FA8">
        <w:rPr>
          <w:rFonts w:ascii="Times" w:hAnsi="Times" w:cs="AdvPTimes"/>
          <w:color w:val="000000"/>
        </w:rPr>
        <w:t xml:space="preserve">the feeding larval stage of </w:t>
      </w:r>
      <w:r w:rsidRPr="00D37AAA">
        <w:rPr>
          <w:rFonts w:ascii="Times" w:hAnsi="Times" w:cs="AdvPTimes"/>
          <w:i/>
          <w:color w:val="000000"/>
        </w:rPr>
        <w:t>S. purpuratus</w:t>
      </w:r>
      <w:r w:rsidRPr="00A61FA8">
        <w:rPr>
          <w:rFonts w:ascii="Times" w:hAnsi="Times" w:cs="AdvPTimes"/>
          <w:color w:val="000000"/>
        </w:rPr>
        <w:t xml:space="preserve"> than it did on</w:t>
      </w:r>
      <w:r w:rsidR="00A61FA8" w:rsidRPr="00A61FA8">
        <w:rPr>
          <w:rFonts w:ascii="Times" w:hAnsi="Times" w:cs="AdvPTimes"/>
          <w:color w:val="000000"/>
        </w:rPr>
        <w:t xml:space="preserve"> </w:t>
      </w:r>
      <w:r w:rsidRPr="00A61FA8">
        <w:rPr>
          <w:rFonts w:ascii="Times" w:hAnsi="Times" w:cs="AdvPTimes"/>
          <w:color w:val="000000"/>
        </w:rPr>
        <w:t>the non-feeding stage (Stumpp et al.</w:t>
      </w:r>
      <w:r w:rsidR="00A61FA8" w:rsidRPr="00A61FA8">
        <w:rPr>
          <w:rFonts w:ascii="Times" w:hAnsi="Times" w:cs="AdvPTimes"/>
          <w:color w:val="000000"/>
        </w:rPr>
        <w:t xml:space="preserve"> </w:t>
      </w:r>
      <w:r w:rsidRPr="00A61FA8">
        <w:rPr>
          <w:rFonts w:ascii="Times" w:hAnsi="Times" w:cs="AdvPTimes"/>
          <w:color w:val="0000FF"/>
        </w:rPr>
        <w:t>2011a</w:t>
      </w:r>
      <w:r w:rsidRPr="00A61FA8">
        <w:rPr>
          <w:rFonts w:ascii="Times" w:hAnsi="Times" w:cs="AdvPTimes"/>
          <w:color w:val="000000"/>
        </w:rPr>
        <w:t>). Similarly to</w:t>
      </w:r>
      <w:r w:rsidR="00A61FA8" w:rsidRPr="00A61FA8">
        <w:rPr>
          <w:rFonts w:ascii="Times" w:hAnsi="Times" w:cs="AdvPTimes"/>
          <w:color w:val="000000"/>
        </w:rPr>
        <w:t xml:space="preserve"> </w:t>
      </w:r>
      <w:r w:rsidRPr="00D37AAA">
        <w:rPr>
          <w:rFonts w:ascii="Times" w:hAnsi="Times" w:cs="AdvPTimes"/>
          <w:i/>
          <w:color w:val="000000"/>
        </w:rPr>
        <w:t>C. gigas</w:t>
      </w:r>
      <w:r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xml:space="preserve"> demonstrated a developmental</w:t>
      </w:r>
      <w:r w:rsidR="00A61FA8" w:rsidRPr="00A61FA8">
        <w:rPr>
          <w:rFonts w:ascii="Times" w:hAnsi="Times" w:cs="AdvPTimes"/>
          <w:color w:val="000000"/>
        </w:rPr>
        <w:t xml:space="preserve"> delay starting with the onset of feeding (Stumpp et al. </w:t>
      </w:r>
      <w:r w:rsidR="00A61FA8" w:rsidRPr="00A61FA8">
        <w:rPr>
          <w:rFonts w:ascii="Times" w:hAnsi="Times" w:cs="AdvPTimes"/>
          <w:color w:val="0000FF"/>
        </w:rPr>
        <w:t>2011a</w:t>
      </w:r>
      <w:r w:rsidR="00A61FA8" w:rsidRPr="00A61FA8">
        <w:rPr>
          <w:rFonts w:ascii="Times" w:hAnsi="Times" w:cs="AdvPTimes"/>
          <w:color w:val="000000"/>
        </w:rPr>
        <w:t xml:space="preserve">). At the same time, routine metabolic rate increased in both elevated </w:t>
      </w:r>
      <w:r w:rsidR="00A61FA8" w:rsidRPr="00D37AAA">
        <w:rPr>
          <w:rFonts w:ascii="Times" w:hAnsi="Times" w:cs="AdvPTimes"/>
          <w:i/>
          <w:color w:val="000000"/>
        </w:rPr>
        <w:t>p</w:t>
      </w:r>
      <w:r w:rsidR="00A61FA8" w:rsidRPr="00A61FA8">
        <w:rPr>
          <w:rFonts w:ascii="Times" w:hAnsi="Times" w:cs="AdvPTimes"/>
          <w:color w:val="000000"/>
        </w:rPr>
        <w:t>CO</w:t>
      </w:r>
      <w:r w:rsidR="00A61FA8" w:rsidRPr="00D37AAA">
        <w:rPr>
          <w:rFonts w:ascii="Times" w:hAnsi="Times" w:cs="AdvPTimes"/>
          <w:color w:val="000000"/>
          <w:vertAlign w:val="subscript"/>
        </w:rPr>
        <w:t>2</w:t>
      </w:r>
      <w:r w:rsidR="00A61FA8" w:rsidRPr="00A61FA8">
        <w:rPr>
          <w:rFonts w:ascii="Times" w:hAnsi="Times" w:cs="AdvPTimes"/>
          <w:color w:val="000000"/>
        </w:rPr>
        <w:t xml:space="preserve"> and ambient treatment, but increased more at low pH (Stumpp et al. </w:t>
      </w:r>
      <w:r w:rsidR="00A61FA8" w:rsidRPr="00A61FA8">
        <w:rPr>
          <w:rFonts w:ascii="Times" w:hAnsi="Times" w:cs="AdvPTimes"/>
          <w:color w:val="0000FF"/>
        </w:rPr>
        <w:t>2011a</w:t>
      </w:r>
      <w:r w:rsidR="00A61FA8" w:rsidRPr="00A61FA8">
        <w:rPr>
          <w:rFonts w:ascii="Times" w:hAnsi="Times" w:cs="AdvPTimes"/>
          <w:color w:val="000000"/>
        </w:rPr>
        <w:t>). The results from these studies suggest that the maintenance of homeostasis becomes more difficult under the energetic demands of ocean acidification stress; however, the physiological stress is realized as developmental delay, with associated phenotypes of less shell and smaller size, only when larvae are</w:t>
      </w:r>
      <w:r w:rsidR="00D37AAA">
        <w:rPr>
          <w:rFonts w:ascii="Times" w:hAnsi="Times" w:cs="AdvPTimes"/>
          <w:color w:val="000000"/>
        </w:rPr>
        <w:t xml:space="preserve"> </w:t>
      </w:r>
      <w:r w:rsidR="00A61FA8" w:rsidRPr="00A61FA8">
        <w:rPr>
          <w:rFonts w:ascii="Times" w:hAnsi="Times" w:cs="AdvPTimes"/>
          <w:color w:val="000000"/>
        </w:rPr>
        <w:t xml:space="preserve">in a feeding stage. Reallocation of resources associated with invertebrate responses to ocean acidification has been shown to affect several processes, including as soft tissue growth (Gaylord et al. </w:t>
      </w:r>
      <w:r w:rsidR="00A61FA8" w:rsidRPr="00A61FA8">
        <w:rPr>
          <w:rFonts w:ascii="Times" w:hAnsi="Times" w:cs="AdvPTimes"/>
          <w:color w:val="0000FF"/>
        </w:rPr>
        <w:t>2011</w:t>
      </w:r>
      <w:r w:rsidR="00A61FA8" w:rsidRPr="00A61FA8">
        <w:rPr>
          <w:rFonts w:ascii="Times" w:hAnsi="Times" w:cs="AdvPTimes"/>
          <w:color w:val="000000"/>
        </w:rPr>
        <w:t xml:space="preserve">; Beniash et al. </w:t>
      </w:r>
      <w:r w:rsidR="00A61FA8" w:rsidRPr="00A61FA8">
        <w:rPr>
          <w:rFonts w:ascii="Times" w:hAnsi="Times" w:cs="AdvPTimes"/>
          <w:color w:val="0000FF"/>
        </w:rPr>
        <w:t>2010</w:t>
      </w:r>
      <w:r w:rsidR="00A61FA8" w:rsidRPr="00A61FA8">
        <w:rPr>
          <w:rFonts w:ascii="Times" w:hAnsi="Times" w:cs="AdvPTimes"/>
          <w:color w:val="000000"/>
        </w:rPr>
        <w:t xml:space="preserve">), scope for growth (Stumpp et al. </w:t>
      </w:r>
      <w:r w:rsidR="00A61FA8" w:rsidRPr="00A61FA8">
        <w:rPr>
          <w:rFonts w:ascii="Times" w:hAnsi="Times" w:cs="AdvPTimes"/>
          <w:color w:val="0000FF"/>
        </w:rPr>
        <w:t>2011a</w:t>
      </w:r>
      <w:r w:rsidR="00A61FA8" w:rsidRPr="00A61FA8">
        <w:rPr>
          <w:rFonts w:ascii="Times" w:hAnsi="Times" w:cs="AdvPTimes"/>
          <w:color w:val="000000"/>
        </w:rPr>
        <w:t>), and shell integrity (Gaylord</w:t>
      </w:r>
      <w:r w:rsidR="00D37AAA">
        <w:rPr>
          <w:rFonts w:ascii="Times" w:hAnsi="Times" w:cs="AdvPTimes"/>
          <w:color w:val="000000"/>
        </w:rPr>
        <w:t xml:space="preserve"> </w:t>
      </w:r>
      <w:r w:rsidR="00A61FA8" w:rsidRPr="00A61FA8">
        <w:rPr>
          <w:rFonts w:ascii="Times" w:hAnsi="Times" w:cs="AdvPTimes"/>
          <w:color w:val="000000"/>
        </w:rPr>
        <w:t xml:space="preserve">et al. </w:t>
      </w:r>
      <w:r w:rsidR="00A61FA8" w:rsidRPr="00A61FA8">
        <w:rPr>
          <w:rFonts w:ascii="Times" w:hAnsi="Times" w:cs="AdvPTimes"/>
          <w:color w:val="0000FF"/>
        </w:rPr>
        <w:t>2011</w:t>
      </w:r>
      <w:r w:rsidR="00A61FA8" w:rsidRPr="00A61FA8">
        <w:rPr>
          <w:rFonts w:ascii="Times" w:hAnsi="Times" w:cs="AdvPTimes"/>
          <w:color w:val="000000"/>
        </w:rPr>
        <w:t xml:space="preserve">; Melzner et al. </w:t>
      </w:r>
      <w:r w:rsidR="00A61FA8" w:rsidRPr="00A61FA8">
        <w:rPr>
          <w:rFonts w:ascii="Times" w:hAnsi="Times" w:cs="AdvPTimes"/>
          <w:color w:val="0000FF"/>
        </w:rPr>
        <w:t>2011</w:t>
      </w:r>
      <w:r w:rsidR="00A61FA8" w:rsidRPr="00A61FA8">
        <w:rPr>
          <w:rFonts w:ascii="Times" w:hAnsi="Times" w:cs="AdvPTimes"/>
          <w:color w:val="000000"/>
        </w:rPr>
        <w:t>).</w:t>
      </w:r>
    </w:p>
    <w:p w14:paraId="6518D82B" w14:textId="03E5388D" w:rsidR="00A61FA8" w:rsidRPr="00A61FA8"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Larval shell formation is closely linked to development and begins by 24 h post-fertilization. Numerous species experience decreased calcification when water is undersaturated with respect to aragonite (Kurihara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xml:space="preserve">; Crim et al. </w:t>
      </w:r>
      <w:r w:rsidRPr="00A61FA8">
        <w:rPr>
          <w:rFonts w:ascii="Times" w:hAnsi="Times" w:cs="AdvPTimes"/>
          <w:color w:val="0000FF"/>
        </w:rPr>
        <w:t>2011</w:t>
      </w:r>
      <w:r w:rsidRPr="00A61FA8">
        <w:rPr>
          <w:rFonts w:ascii="Times" w:hAnsi="Times" w:cs="AdvPTimes"/>
          <w:color w:val="000000"/>
        </w:rPr>
        <w:t xml:space="preserve">; Gazeau et al. </w:t>
      </w:r>
      <w:r w:rsidRPr="00A61FA8">
        <w:rPr>
          <w:rFonts w:ascii="Times" w:hAnsi="Times" w:cs="AdvPTimes"/>
          <w:color w:val="0000FF"/>
        </w:rPr>
        <w:t>2011</w:t>
      </w:r>
      <w:r w:rsidRPr="00A61FA8">
        <w:rPr>
          <w:rFonts w:ascii="Times" w:hAnsi="Times" w:cs="AdvPTimes"/>
          <w:color w:val="000000"/>
        </w:rPr>
        <w:t xml:space="preserve">; Byrne et al. </w:t>
      </w:r>
      <w:r w:rsidRPr="00A61FA8">
        <w:rPr>
          <w:rFonts w:ascii="Times" w:hAnsi="Times" w:cs="AdvPTimes"/>
          <w:color w:val="0000FF"/>
        </w:rPr>
        <w:t>2010a</w:t>
      </w:r>
      <w:r w:rsidRPr="00A61FA8">
        <w:rPr>
          <w:rFonts w:ascii="Times" w:hAnsi="Times" w:cs="AdvPTimes"/>
          <w:color w:val="000000"/>
        </w:rPr>
        <w:t xml:space="preserve">, </w:t>
      </w:r>
      <w:r w:rsidRPr="00A61FA8">
        <w:rPr>
          <w:rFonts w:ascii="Times" w:hAnsi="Times" w:cs="AdvPTimes"/>
          <w:color w:val="0000FF"/>
        </w:rPr>
        <w:t>b</w:t>
      </w:r>
      <w:r w:rsidRPr="00A61FA8">
        <w:rPr>
          <w:rFonts w:ascii="Times" w:hAnsi="Times" w:cs="AdvPTimes"/>
          <w:color w:val="000000"/>
        </w:rPr>
        <w:t xml:space="preserve">), although some species are still able to form apparently normal calcified structures in undersaturated conditions (Dupont et al. </w:t>
      </w:r>
      <w:r w:rsidRPr="00A61FA8">
        <w:rPr>
          <w:rFonts w:ascii="Times" w:hAnsi="Times" w:cs="AdvPTimes"/>
          <w:color w:val="0000FF"/>
        </w:rPr>
        <w:t>2010</w:t>
      </w:r>
      <w:r w:rsidRPr="00A61FA8">
        <w:rPr>
          <w:rFonts w:ascii="Times" w:hAnsi="Times" w:cs="AdvPTimes"/>
          <w:color w:val="000000"/>
        </w:rPr>
        <w:t xml:space="preserve">; Catarino et al. </w:t>
      </w:r>
      <w:r w:rsidRPr="00A61FA8">
        <w:rPr>
          <w:rFonts w:ascii="Times" w:hAnsi="Times" w:cs="AdvPTimes"/>
          <w:color w:val="0000FF"/>
        </w:rPr>
        <w:t>2011</w:t>
      </w:r>
      <w:r w:rsidRPr="00A61FA8">
        <w:rPr>
          <w:rFonts w:ascii="Times" w:hAnsi="Times" w:cs="AdvPTimes"/>
          <w:color w:val="000000"/>
        </w:rPr>
        <w:t xml:space="preserve">; Yu et al. </w:t>
      </w:r>
      <w:r w:rsidRPr="00A61FA8">
        <w:rPr>
          <w:rFonts w:ascii="Times" w:hAnsi="Times" w:cs="AdvPTimes"/>
          <w:color w:val="0000FF"/>
        </w:rPr>
        <w:t>2011</w:t>
      </w:r>
      <w:r w:rsidRPr="00A61FA8">
        <w:rPr>
          <w:rFonts w:ascii="Times" w:hAnsi="Times" w:cs="AdvPTimes"/>
          <w:color w:val="000000"/>
        </w:rPr>
        <w:t xml:space="preserve">). Early </w:t>
      </w:r>
      <w:r w:rsidRPr="00D37AAA">
        <w:rPr>
          <w:rFonts w:ascii="Times" w:hAnsi="Times" w:cs="AdvPTimes"/>
          <w:i/>
          <w:color w:val="000000"/>
        </w:rPr>
        <w:t>C. gigas</w:t>
      </w:r>
      <w:r w:rsidRPr="00A61FA8">
        <w:rPr>
          <w:rFonts w:ascii="Times" w:hAnsi="Times" w:cs="AdvPTimes"/>
          <w:color w:val="000000"/>
        </w:rPr>
        <w:t xml:space="preserve"> larval shells are made of amorphous calcium carbonate and aragonite (Weiss et al. </w:t>
      </w:r>
      <w:r w:rsidRPr="00A61FA8">
        <w:rPr>
          <w:rFonts w:ascii="Times" w:hAnsi="Times" w:cs="AdvPTimes"/>
          <w:color w:val="0000FF"/>
        </w:rPr>
        <w:t>2002</w:t>
      </w:r>
      <w:r w:rsidRPr="00A61FA8">
        <w:rPr>
          <w:rFonts w:ascii="Times" w:hAnsi="Times" w:cs="AdvPTimes"/>
          <w:color w:val="000000"/>
        </w:rPr>
        <w:t>), two of the more soluble forms of CaCO</w:t>
      </w:r>
      <w:r w:rsidRPr="00D37AAA">
        <w:rPr>
          <w:rFonts w:ascii="Times" w:hAnsi="Times" w:cs="AdvPTimes"/>
          <w:color w:val="000000"/>
          <w:vertAlign w:val="subscript"/>
        </w:rPr>
        <w:t>3</w:t>
      </w:r>
      <w:r w:rsidRPr="00A61FA8">
        <w:rPr>
          <w:rFonts w:ascii="Times" w:hAnsi="Times" w:cs="AdvPTimes"/>
          <w:color w:val="000000"/>
        </w:rPr>
        <w:t xml:space="preserve"> at low pH. Invertebrates are able to control calcification through amorphous mineral precursors and metabolites (Weiss </w:t>
      </w:r>
      <w:r w:rsidRPr="00A61FA8">
        <w:rPr>
          <w:rFonts w:ascii="Times" w:hAnsi="Times" w:cs="AdvPTimes"/>
          <w:color w:val="0000FF"/>
        </w:rPr>
        <w:t>2011</w:t>
      </w:r>
      <w:r w:rsidRPr="00A61FA8">
        <w:rPr>
          <w:rFonts w:ascii="Times" w:hAnsi="Times" w:cs="AdvPTimes"/>
          <w:color w:val="000000"/>
        </w:rPr>
        <w:t>), thus decreasing the potential effects of a corrosive</w:t>
      </w:r>
      <w:r w:rsidR="00D37AAA">
        <w:rPr>
          <w:rFonts w:ascii="Times" w:hAnsi="Times" w:cs="AdvPTimes"/>
          <w:color w:val="000000"/>
        </w:rPr>
        <w:t xml:space="preserve"> environment. On days 1 and 2, Ω</w:t>
      </w:r>
      <w:r w:rsidRPr="00D37AAA">
        <w:rPr>
          <w:rFonts w:ascii="Times" w:hAnsi="Times" w:cs="AdvPTimes"/>
          <w:color w:val="000000"/>
          <w:vertAlign w:val="subscript"/>
        </w:rPr>
        <w:t>Ar</w:t>
      </w:r>
      <w:r w:rsidRPr="00A61FA8">
        <w:rPr>
          <w:rFonts w:ascii="Times" w:hAnsi="Times" w:cs="AdvPTimes"/>
          <w:color w:val="000000"/>
        </w:rPr>
        <w:t xml:space="preserve"> was below 1.0, causing the seawater to be undersaturated with respect to aragonite. Calcification can become energetically costly</w:t>
      </w:r>
      <w:r w:rsidR="00D37AAA">
        <w:rPr>
          <w:rFonts w:ascii="Times" w:hAnsi="Times" w:cs="AdvPTimes"/>
          <w:color w:val="000000"/>
        </w:rPr>
        <w:t xml:space="preserve"> </w:t>
      </w:r>
      <w:r w:rsidRPr="00A61FA8">
        <w:rPr>
          <w:rFonts w:ascii="Times" w:hAnsi="Times" w:cs="AdvPTimes"/>
          <w:color w:val="000000"/>
        </w:rPr>
        <w:t>due to scarcity of CO</w:t>
      </w:r>
      <w:r w:rsidRPr="00D37AAA">
        <w:rPr>
          <w:rFonts w:ascii="Times" w:hAnsi="Times" w:cs="AdvPTimes"/>
          <w:color w:val="000000"/>
          <w:vertAlign w:val="subscript"/>
        </w:rPr>
        <w:t>3</w:t>
      </w:r>
      <w:r w:rsidRPr="00D37AAA">
        <w:rPr>
          <w:rFonts w:ascii="Times" w:hAnsi="Times" w:cs="AdvPTimes"/>
          <w:color w:val="000000"/>
          <w:vertAlign w:val="superscript"/>
        </w:rPr>
        <w:t>2-</w:t>
      </w:r>
      <w:r w:rsidRPr="00A61FA8">
        <w:rPr>
          <w:rFonts w:ascii="Times" w:hAnsi="Times" w:cs="AdvPTimes"/>
          <w:color w:val="000000"/>
        </w:rPr>
        <w:t xml:space="preserve"> ions in the environment and disruption of ionic gradients of the calcifyin</w:t>
      </w:r>
      <w:r w:rsidR="00D37AAA">
        <w:rPr>
          <w:rFonts w:ascii="Times" w:hAnsi="Times" w:cs="AdvPTimes"/>
          <w:color w:val="000000"/>
        </w:rPr>
        <w:t>g compartment from changes in H</w:t>
      </w:r>
      <w:r w:rsidR="00D37AAA" w:rsidRPr="00D37AAA">
        <w:rPr>
          <w:rFonts w:ascii="Times" w:hAnsi="Times" w:cs="AdvPTimes"/>
          <w:color w:val="000000"/>
          <w:vertAlign w:val="superscript"/>
        </w:rPr>
        <w:t>+</w:t>
      </w:r>
      <w:r w:rsidRPr="00A61FA8">
        <w:rPr>
          <w:rFonts w:ascii="Times" w:hAnsi="Times" w:cs="AdvPTimes"/>
          <w:color w:val="000000"/>
        </w:rPr>
        <w:t>. If oyster la</w:t>
      </w:r>
      <w:r w:rsidR="00D37AAA">
        <w:rPr>
          <w:rFonts w:ascii="Times" w:hAnsi="Times" w:cs="AdvPTimes"/>
          <w:color w:val="000000"/>
        </w:rPr>
        <w:t>rvae remove a fixed number of H</w:t>
      </w:r>
      <w:r w:rsidR="00D37AAA" w:rsidRPr="00D37AAA">
        <w:rPr>
          <w:rFonts w:ascii="Times" w:hAnsi="Times" w:cs="AdvPTimes"/>
          <w:color w:val="000000"/>
          <w:vertAlign w:val="superscript"/>
        </w:rPr>
        <w:t>+</w:t>
      </w:r>
      <w:r w:rsidRPr="00A61FA8">
        <w:rPr>
          <w:rFonts w:ascii="Times" w:hAnsi="Times" w:cs="AdvPTimes"/>
          <w:color w:val="000000"/>
        </w:rPr>
        <w:t xml:space="preserve"> from their calcifying fluid versus maintaining a fixed ratio o</w:t>
      </w:r>
      <w:r w:rsidR="00D37AAA">
        <w:rPr>
          <w:rFonts w:ascii="Times" w:hAnsi="Times" w:cs="AdvPTimes"/>
          <w:color w:val="000000"/>
        </w:rPr>
        <w:t>f extracellular/intracellular H</w:t>
      </w:r>
      <w:r w:rsidR="00D37AAA" w:rsidRPr="00D37AAA">
        <w:rPr>
          <w:rFonts w:ascii="Times" w:hAnsi="Times" w:cs="AdvPTimes"/>
          <w:color w:val="000000"/>
          <w:vertAlign w:val="superscript"/>
        </w:rPr>
        <w:t>+</w:t>
      </w:r>
      <w:r w:rsidRPr="00A61FA8">
        <w:rPr>
          <w:rFonts w:ascii="Times" w:hAnsi="Times" w:cs="AdvPTimes"/>
          <w:color w:val="000000"/>
        </w:rPr>
        <w:t xml:space="preserve">, then their energy budget would be more taxed during environmental hypercapnia (Ries </w:t>
      </w:r>
      <w:r w:rsidRPr="00A61FA8">
        <w:rPr>
          <w:rFonts w:ascii="Times" w:hAnsi="Times" w:cs="AdvPTimes"/>
          <w:color w:val="0000FF"/>
        </w:rPr>
        <w:t>2011</w:t>
      </w:r>
      <w:r w:rsidRPr="00A61FA8">
        <w:rPr>
          <w:rFonts w:ascii="Times" w:hAnsi="Times" w:cs="AdvPTimes"/>
          <w:color w:val="000000"/>
        </w:rPr>
        <w:t>). This added stress on the process of calcification could have contributed to the energy budget shifts that led to a developmental delay.</w:t>
      </w:r>
    </w:p>
    <w:p w14:paraId="37F5AF17" w14:textId="6B7D45F4" w:rsidR="00A61FA8" w:rsidRPr="00D37AAA"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In this study, </w:t>
      </w:r>
      <w:r w:rsidRPr="00D37AAA">
        <w:rPr>
          <w:rFonts w:ascii="Times" w:hAnsi="Times" w:cs="AdvPTimes"/>
          <w:i/>
          <w:color w:val="000000"/>
        </w:rPr>
        <w:t>C. gigas</w:t>
      </w:r>
      <w:r w:rsidRPr="00A61FA8">
        <w:rPr>
          <w:rFonts w:ascii="Times" w:hAnsi="Times" w:cs="AdvPTimes"/>
          <w:color w:val="000000"/>
        </w:rPr>
        <w:t xml:space="preserve"> tolerated the MidCO</w:t>
      </w:r>
      <w:r w:rsidRPr="00D37AAA">
        <w:rPr>
          <w:rFonts w:ascii="Times" w:hAnsi="Times" w:cs="AdvPTimes"/>
          <w:color w:val="000000"/>
          <w:vertAlign w:val="subscript"/>
        </w:rPr>
        <w:t>2</w:t>
      </w:r>
      <w:r w:rsidRPr="00A61FA8">
        <w:rPr>
          <w:rFonts w:ascii="Times" w:hAnsi="Times" w:cs="AdvPTimes"/>
          <w:color w:val="000000"/>
        </w:rPr>
        <w:t xml:space="preserve"> treatment through 3 days post-fertilization. The lack of negative effects on shell formation and maintenance in the larvae from the MidCO</w:t>
      </w:r>
      <w:r w:rsidRPr="00D37AAA">
        <w:rPr>
          <w:rFonts w:ascii="Times" w:hAnsi="Times" w:cs="AdvPTimes"/>
          <w:color w:val="000000"/>
          <w:vertAlign w:val="subscript"/>
        </w:rPr>
        <w:t>2</w:t>
      </w:r>
      <w:r w:rsidRPr="00A61FA8">
        <w:rPr>
          <w:rFonts w:ascii="Times" w:hAnsi="Times" w:cs="AdvPTimes"/>
          <w:color w:val="000000"/>
        </w:rPr>
        <w:t xml:space="preserve"> treatm</w:t>
      </w:r>
      <w:r w:rsidR="00D37AAA">
        <w:rPr>
          <w:rFonts w:ascii="Times" w:hAnsi="Times" w:cs="AdvPTimes"/>
          <w:color w:val="000000"/>
        </w:rPr>
        <w:t>ent suggests that a cut-off of Ω</w:t>
      </w:r>
      <w:r w:rsidRPr="00D37AAA">
        <w:rPr>
          <w:rFonts w:ascii="Times" w:hAnsi="Times" w:cs="AdvPTimes"/>
          <w:color w:val="000000"/>
          <w:vertAlign w:val="subscript"/>
        </w:rPr>
        <w:t>Ar</w:t>
      </w:r>
      <w:r w:rsidR="00D37AAA">
        <w:rPr>
          <w:rFonts w:ascii="Times" w:hAnsi="Times" w:cs="AdvPTimes"/>
          <w:color w:val="000000"/>
        </w:rPr>
        <w:t xml:space="preserve"> &lt; </w:t>
      </w:r>
      <w:r w:rsidRPr="00A61FA8">
        <w:rPr>
          <w:rFonts w:ascii="Times" w:hAnsi="Times" w:cs="AdvPTimes"/>
          <w:color w:val="000000"/>
        </w:rPr>
        <w:t xml:space="preserve">1.0 is significant in terms of the ability of this population to biomineralize at this time point in development. It is also possible that the high level of food available to the larvae modulated the impact of ocean acidification and could have led to an underestimation its effect in this treatment (Melzner et al. </w:t>
      </w:r>
      <w:r w:rsidRPr="00A61FA8">
        <w:rPr>
          <w:rFonts w:ascii="Times" w:hAnsi="Times" w:cs="AdvPTimes"/>
          <w:color w:val="0000FF"/>
        </w:rPr>
        <w:t>2011</w:t>
      </w:r>
      <w:r w:rsidRPr="00A61FA8">
        <w:rPr>
          <w:rFonts w:ascii="Times" w:hAnsi="Times" w:cs="AdvPTimes"/>
          <w:color w:val="000000"/>
        </w:rPr>
        <w:t xml:space="preserve">). An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750 μatm (Ω</w:t>
      </w:r>
      <w:r w:rsidRPr="00D37AAA">
        <w:rPr>
          <w:rFonts w:ascii="Times" w:hAnsi="Times" w:cs="AdvPTimes"/>
          <w:color w:val="000000"/>
          <w:vertAlign w:val="subscript"/>
        </w:rPr>
        <w:t>Ar</w:t>
      </w:r>
      <w:r w:rsidRPr="00A61FA8">
        <w:rPr>
          <w:rFonts w:ascii="Times" w:hAnsi="Times" w:cs="AdvPTimes"/>
          <w:color w:val="000000"/>
        </w:rPr>
        <w:t xml:space="preserve"> of about 1.0) had significant negative effects on hard clam (</w:t>
      </w:r>
      <w:r w:rsidRPr="00210D10">
        <w:rPr>
          <w:rFonts w:ascii="Times" w:hAnsi="Times" w:cs="AdvPTimes"/>
          <w:i/>
          <w:color w:val="000000"/>
        </w:rPr>
        <w:t>Mercenaria mercenaria</w:t>
      </w:r>
      <w:r w:rsidRPr="00A61FA8">
        <w:rPr>
          <w:rFonts w:ascii="Times" w:hAnsi="Times" w:cs="AdvPTimes"/>
          <w:color w:val="000000"/>
        </w:rPr>
        <w:t xml:space="preserve">) and bay scallop </w:t>
      </w:r>
      <w:r w:rsidRPr="00A61FA8">
        <w:rPr>
          <w:rFonts w:ascii="Times" w:hAnsi="Times" w:cs="Times New Roman"/>
          <w:color w:val="000000"/>
        </w:rPr>
        <w:t>(</w:t>
      </w:r>
      <w:bookmarkStart w:id="25" w:name="_GoBack"/>
      <w:r w:rsidRPr="00210D10">
        <w:rPr>
          <w:rFonts w:ascii="Times" w:hAnsi="Times" w:cs="Times New Roman"/>
          <w:i/>
          <w:color w:val="000000"/>
        </w:rPr>
        <w:t>Argopecten irradians</w:t>
      </w:r>
      <w:bookmarkEnd w:id="25"/>
      <w:r w:rsidRPr="00A61FA8">
        <w:rPr>
          <w:rFonts w:ascii="Times" w:hAnsi="Times" w:cs="Times New Roman"/>
          <w:color w:val="000000"/>
        </w:rPr>
        <w:t>) larvae after about 3 weeks of</w:t>
      </w:r>
      <w:r w:rsidRPr="00A61FA8">
        <w:rPr>
          <w:rFonts w:ascii="Times" w:hAnsi="Times" w:cs="AdvPTimes"/>
          <w:color w:val="000000"/>
        </w:rPr>
        <w:t xml:space="preserve"> </w:t>
      </w:r>
      <w:r w:rsidRPr="00A61FA8">
        <w:rPr>
          <w:rFonts w:ascii="Times" w:hAnsi="Times" w:cs="Times New Roman"/>
          <w:color w:val="000000"/>
        </w:rPr>
        <w:t>exposure as evidenced by decreased survival, development,</w:t>
      </w:r>
      <w:r w:rsidRPr="00A61FA8">
        <w:rPr>
          <w:rFonts w:ascii="Times" w:hAnsi="Times" w:cs="AdvPTimes"/>
          <w:color w:val="000000"/>
        </w:rPr>
        <w:t xml:space="preserve"> </w:t>
      </w:r>
      <w:r w:rsidRPr="00A61FA8">
        <w:rPr>
          <w:rFonts w:ascii="Times" w:hAnsi="Times" w:cs="Times New Roman"/>
          <w:color w:val="000000"/>
        </w:rPr>
        <w:t xml:space="preserve">growth, and lipid synthesis (Talmage and Gobler </w:t>
      </w:r>
      <w:r w:rsidRPr="00A61FA8">
        <w:rPr>
          <w:rFonts w:ascii="Times" w:hAnsi="Times" w:cs="Times New Roman"/>
          <w:color w:val="0000FF"/>
        </w:rPr>
        <w:t>2011</w:t>
      </w:r>
      <w:r w:rsidRPr="00A61FA8">
        <w:rPr>
          <w:rFonts w:ascii="Times" w:hAnsi="Times" w:cs="Times New Roman"/>
          <w:color w:val="000000"/>
        </w:rPr>
        <w:t>).</w:t>
      </w:r>
      <w:r w:rsidRPr="00A61FA8">
        <w:rPr>
          <w:rFonts w:ascii="Times" w:hAnsi="Times" w:cs="AdvPTimes"/>
          <w:color w:val="000000"/>
        </w:rPr>
        <w:t xml:space="preserve">  </w:t>
      </w:r>
      <w:r w:rsidRPr="00A61FA8">
        <w:rPr>
          <w:rFonts w:ascii="Times" w:hAnsi="Times" w:cs="Times New Roman"/>
          <w:color w:val="000000"/>
        </w:rPr>
        <w:t>The comparable exposu</w:t>
      </w:r>
      <w:r w:rsidR="00D37AAA">
        <w:rPr>
          <w:rFonts w:ascii="Times" w:hAnsi="Times" w:cs="Times New Roman"/>
          <w:color w:val="000000"/>
        </w:rPr>
        <w:t>re conditions in our study (Mid</w:t>
      </w:r>
      <w:r w:rsidRPr="00A61FA8">
        <w:rPr>
          <w:rFonts w:ascii="Times" w:hAnsi="Times" w:cs="Times New Roman"/>
          <w:color w:val="000000"/>
        </w:rPr>
        <w:t>CO</w:t>
      </w:r>
      <w:r w:rsidRPr="00D37AAA">
        <w:rPr>
          <w:rFonts w:ascii="Times" w:hAnsi="Times" w:cs="Times New Roman"/>
          <w:color w:val="000000"/>
          <w:vertAlign w:val="subscript"/>
        </w:rPr>
        <w:t>2</w:t>
      </w:r>
      <w:r w:rsidRPr="00A61FA8">
        <w:rPr>
          <w:rFonts w:ascii="Times" w:hAnsi="Times" w:cs="Times New Roman"/>
          <w:color w:val="000000"/>
        </w:rPr>
        <w:t>) did not have a negative impact over the time period observed. Due to the similarities of carbonate chemistry parameters with Talmage and Gobler (</w:t>
      </w:r>
      <w:r w:rsidRPr="00A61FA8">
        <w:rPr>
          <w:rFonts w:ascii="Times" w:hAnsi="Times" w:cs="Times New Roman"/>
          <w:color w:val="0000FF"/>
        </w:rPr>
        <w:t>2011</w:t>
      </w:r>
      <w:r w:rsidRPr="00A61FA8">
        <w:rPr>
          <w:rFonts w:ascii="Times" w:hAnsi="Times" w:cs="Times New Roman"/>
          <w:color w:val="000000"/>
        </w:rPr>
        <w:t xml:space="preserve">), the differential responses observed across species are likely indicative of variability in species, developmental stage tolerances, or length of exposure. Longer experiments in larvae have demonstrated that the negative effects of ocean acidification persist and sometimes worsen in mussels </w:t>
      </w:r>
      <w:r w:rsidRPr="00D37AAA">
        <w:rPr>
          <w:rFonts w:ascii="Times" w:hAnsi="Times" w:cs="Times New Roman"/>
          <w:i/>
          <w:color w:val="000000"/>
        </w:rPr>
        <w:t>M. californianus</w:t>
      </w:r>
      <w:r w:rsidRPr="00A61FA8">
        <w:rPr>
          <w:rFonts w:ascii="Times" w:hAnsi="Times" w:cs="Times New Roman"/>
          <w:color w:val="000000"/>
        </w:rPr>
        <w:t xml:space="preserve"> (Gaylord et al. </w:t>
      </w:r>
      <w:r w:rsidRPr="00A61FA8">
        <w:rPr>
          <w:rFonts w:ascii="Times" w:hAnsi="Times" w:cs="Times New Roman"/>
          <w:color w:val="0000FF"/>
        </w:rPr>
        <w:t>2011</w:t>
      </w:r>
      <w:r w:rsidRPr="00A61FA8">
        <w:rPr>
          <w:rFonts w:ascii="Times" w:hAnsi="Times" w:cs="Times New Roman"/>
          <w:color w:val="000000"/>
        </w:rPr>
        <w:t xml:space="preserve">), urchins </w:t>
      </w:r>
      <w:r w:rsidRPr="00D37AAA">
        <w:rPr>
          <w:rFonts w:ascii="Times" w:hAnsi="Times" w:cs="Times New Roman"/>
          <w:i/>
          <w:color w:val="000000"/>
        </w:rPr>
        <w:t>S. purpuratus</w:t>
      </w:r>
      <w:r w:rsidRPr="00A61FA8">
        <w:rPr>
          <w:rFonts w:ascii="Times" w:hAnsi="Times" w:cs="Times New Roman"/>
          <w:color w:val="000000"/>
        </w:rPr>
        <w:t xml:space="preserve"> (Stumpp et al. </w:t>
      </w:r>
      <w:r w:rsidRPr="00A61FA8">
        <w:rPr>
          <w:rFonts w:ascii="Times" w:hAnsi="Times" w:cs="Times New Roman"/>
          <w:color w:val="0000FF"/>
        </w:rPr>
        <w:t>2011a</w:t>
      </w:r>
      <w:r w:rsidRPr="00A61FA8">
        <w:rPr>
          <w:rFonts w:ascii="Times" w:hAnsi="Times" w:cs="Times New Roman"/>
          <w:color w:val="000000"/>
        </w:rPr>
        <w:t xml:space="preserve">, </w:t>
      </w:r>
      <w:r w:rsidRPr="00A61FA8">
        <w:rPr>
          <w:rFonts w:ascii="Times" w:hAnsi="Times" w:cs="Times New Roman"/>
          <w:color w:val="0000FF"/>
        </w:rPr>
        <w:t>b</w:t>
      </w:r>
      <w:r w:rsidRPr="00A61FA8">
        <w:rPr>
          <w:rFonts w:ascii="Times" w:hAnsi="Times" w:cs="Times New Roman"/>
          <w:color w:val="000000"/>
        </w:rPr>
        <w:t xml:space="preserve">), abalone </w:t>
      </w:r>
      <w:r w:rsidRPr="00D37AAA">
        <w:rPr>
          <w:rFonts w:ascii="Times" w:hAnsi="Times" w:cs="Times New Roman"/>
          <w:i/>
          <w:color w:val="000000"/>
        </w:rPr>
        <w:t>Haliotis kamtschatkana</w:t>
      </w:r>
      <w:r w:rsidRPr="00A61FA8">
        <w:rPr>
          <w:rFonts w:ascii="Times" w:hAnsi="Times" w:cs="Times New Roman"/>
          <w:color w:val="000000"/>
        </w:rPr>
        <w:t xml:space="preserve"> (Crim et al. </w:t>
      </w:r>
      <w:r w:rsidRPr="00A61FA8">
        <w:rPr>
          <w:rFonts w:ascii="Times" w:hAnsi="Times" w:cs="Times New Roman"/>
          <w:color w:val="0000FF"/>
        </w:rPr>
        <w:t>2011</w:t>
      </w:r>
      <w:r w:rsidRPr="00A61FA8">
        <w:rPr>
          <w:rFonts w:ascii="Times" w:hAnsi="Times" w:cs="Times New Roman"/>
          <w:color w:val="000000"/>
        </w:rPr>
        <w:t xml:space="preserve">), and oysters, </w:t>
      </w:r>
      <w:r w:rsidRPr="00D37AAA">
        <w:rPr>
          <w:rFonts w:ascii="Times" w:hAnsi="Times" w:cs="Times New Roman"/>
          <w:i/>
          <w:color w:val="000000"/>
        </w:rPr>
        <w:t>Crassostrea ariakensis</w:t>
      </w:r>
      <w:r w:rsidRPr="00A61FA8">
        <w:rPr>
          <w:rFonts w:ascii="Times" w:hAnsi="Times" w:cs="Times New Roman"/>
          <w:color w:val="000000"/>
        </w:rPr>
        <w:t xml:space="preserve"> and </w:t>
      </w:r>
      <w:r w:rsidRPr="00D37AAA">
        <w:rPr>
          <w:rFonts w:ascii="Times" w:hAnsi="Times" w:cs="Times New Roman"/>
          <w:i/>
          <w:color w:val="000000"/>
        </w:rPr>
        <w:t>C. virginica</w:t>
      </w:r>
      <w:r w:rsidRPr="00A61FA8">
        <w:rPr>
          <w:rFonts w:ascii="Times" w:hAnsi="Times" w:cs="Times New Roman"/>
          <w:color w:val="000000"/>
        </w:rPr>
        <w:t xml:space="preserve"> (Miller et al. </w:t>
      </w:r>
      <w:r w:rsidRPr="00A61FA8">
        <w:rPr>
          <w:rFonts w:ascii="Times" w:hAnsi="Times" w:cs="Times New Roman"/>
          <w:color w:val="0000FF"/>
        </w:rPr>
        <w:t>2009</w:t>
      </w:r>
      <w:r w:rsidRPr="00A61FA8">
        <w:rPr>
          <w:rFonts w:ascii="Times" w:hAnsi="Times" w:cs="Times New Roman"/>
          <w:color w:val="000000"/>
        </w:rPr>
        <w:t xml:space="preserve">). The compounding negative effects of ocean acidification during an experiment may be due to a species’ decreasing ability to tolerate a specific environmental </w:t>
      </w:r>
      <w:proofErr w:type="gramStart"/>
      <w:r w:rsidRPr="00A61FA8">
        <w:rPr>
          <w:rFonts w:ascii="Times" w:hAnsi="Times" w:cs="Times New Roman"/>
          <w:color w:val="000000"/>
        </w:rPr>
        <w:t>stress</w:t>
      </w:r>
      <w:proofErr w:type="gramEnd"/>
      <w:r w:rsidRPr="00A61FA8">
        <w:rPr>
          <w:rFonts w:ascii="Times" w:hAnsi="Times" w:cs="Times New Roman"/>
          <w:color w:val="000000"/>
        </w:rPr>
        <w:t xml:space="preserve"> as their metabolic needs change throughout development.</w:t>
      </w:r>
    </w:p>
    <w:p w14:paraId="06E71E51" w14:textId="77777777" w:rsidR="00E01B09" w:rsidRDefault="00E01B09" w:rsidP="00E01B09">
      <w:pPr>
        <w:pStyle w:val="Heading2"/>
      </w:pPr>
      <w:bookmarkStart w:id="26" w:name="_Toc252109990"/>
      <w:r>
        <w:t>Conclusions</w:t>
      </w:r>
      <w:bookmarkEnd w:id="26"/>
    </w:p>
    <w:p w14:paraId="1736C767" w14:textId="77777777" w:rsidR="005643FD" w:rsidRPr="005643FD" w:rsidRDefault="005643FD" w:rsidP="005643FD"/>
    <w:p w14:paraId="6B82C152" w14:textId="59C3AB0C" w:rsidR="00C02D9B" w:rsidRDefault="00A61FA8" w:rsidP="00426D9F">
      <w:pPr>
        <w:widowControl w:val="0"/>
        <w:autoSpaceDE w:val="0"/>
        <w:autoSpaceDN w:val="0"/>
        <w:adjustRightInd w:val="0"/>
        <w:spacing w:line="360" w:lineRule="auto"/>
        <w:ind w:firstLine="720"/>
        <w:rPr>
          <w:rFonts w:ascii="Times" w:hAnsi="Times" w:cs="AdvPTimes"/>
        </w:rPr>
      </w:pPr>
      <w:r w:rsidRPr="00A61FA8">
        <w:rPr>
          <w:rFonts w:ascii="Times" w:hAnsi="Times" w:cs="AdvPTimes"/>
        </w:rPr>
        <w:t>In this study, we observed that an acute, 72-h exposure to the end-of-century projections of ocean acidification (HighCO</w:t>
      </w:r>
      <w:r w:rsidRPr="00D37AAA">
        <w:rPr>
          <w:rFonts w:ascii="Times" w:hAnsi="Times" w:cs="AdvPTimes"/>
          <w:vertAlign w:val="subscript"/>
        </w:rPr>
        <w:t>2</w:t>
      </w:r>
      <w:r w:rsidRPr="00A61FA8">
        <w:rPr>
          <w:rFonts w:ascii="Times" w:hAnsi="Times" w:cs="AdvPTimes"/>
        </w:rPr>
        <w:t>) has a negative impact on development in oyster larvae. Additionally, this study revealed that moderate changes in seawater chemistry (MidCO</w:t>
      </w:r>
      <w:r w:rsidRPr="00D37AAA">
        <w:rPr>
          <w:rFonts w:ascii="Times" w:hAnsi="Times" w:cs="AdvPTimes"/>
          <w:vertAlign w:val="subscript"/>
        </w:rPr>
        <w:t>2</w:t>
      </w:r>
      <w:r w:rsidR="00D37AAA">
        <w:rPr>
          <w:rFonts w:ascii="Times" w:hAnsi="Times" w:cs="AdvPTimes"/>
        </w:rPr>
        <w:t>, about 800 μatm, mean Ω</w:t>
      </w:r>
      <w:r w:rsidRPr="00D37AAA">
        <w:rPr>
          <w:rFonts w:ascii="Times" w:hAnsi="Times" w:cs="AdvPTimes"/>
          <w:vertAlign w:val="subscript"/>
        </w:rPr>
        <w:t>Ar</w:t>
      </w:r>
      <w:r w:rsidR="00D37AAA">
        <w:rPr>
          <w:rFonts w:ascii="Times" w:hAnsi="Times" w:cs="AdvPTimes"/>
        </w:rPr>
        <w:t xml:space="preserve"> &gt; </w:t>
      </w:r>
      <w:r w:rsidRPr="00A61FA8">
        <w:rPr>
          <w:rFonts w:ascii="Times" w:hAnsi="Times" w:cs="AdvPTimes"/>
        </w:rPr>
        <w:t xml:space="preserve">1.19 ± 0.10) did not have an observed significant impact on larvae through 3 days post-fertilization. It appears the effects of an environmental stress, such as ocean acidification, vary depending on developmental and metabolic stage of </w:t>
      </w:r>
      <w:r w:rsidRPr="00D37AAA">
        <w:rPr>
          <w:rFonts w:ascii="Times" w:hAnsi="Times" w:cs="AdvPTimes"/>
          <w:i/>
        </w:rPr>
        <w:t>C. gigas</w:t>
      </w:r>
      <w:r w:rsidRPr="00A61FA8">
        <w:rPr>
          <w:rFonts w:ascii="Times" w:hAnsi="Times" w:cs="AdvPTimes"/>
        </w:rPr>
        <w:t xml:space="preserve"> larvae. This is most likely directly associated with a switch in larval energy metabolism as the oysters develop from a non-feeding stage to a feeding stage. In order to effectively evaluate the possibility of acclimation or adaptation, future research should focus on characterizing larvae from diverse genotypes and locations as well as assessing any influences that might be experienced later in development.</w:t>
      </w:r>
    </w:p>
    <w:p w14:paraId="3A779609" w14:textId="77777777" w:rsidR="00A61FA8" w:rsidRDefault="00A61FA8" w:rsidP="00A61FA8">
      <w:pPr>
        <w:widowControl w:val="0"/>
        <w:autoSpaceDE w:val="0"/>
        <w:autoSpaceDN w:val="0"/>
        <w:adjustRightInd w:val="0"/>
        <w:rPr>
          <w:rFonts w:ascii="Times" w:hAnsi="Times" w:cs="AdvPTimes"/>
        </w:rPr>
      </w:pPr>
    </w:p>
    <w:p w14:paraId="18C3B276" w14:textId="26A20E85" w:rsidR="00A61FA8" w:rsidRDefault="00A61FA8" w:rsidP="00A61FA8">
      <w:pPr>
        <w:pStyle w:val="Heading2"/>
      </w:pPr>
      <w:bookmarkStart w:id="27" w:name="_Toc252109991"/>
      <w:r>
        <w:t>Acknowledgements</w:t>
      </w:r>
      <w:bookmarkEnd w:id="27"/>
    </w:p>
    <w:p w14:paraId="62964A40" w14:textId="2FC5B674" w:rsidR="00A61FA8" w:rsidRPr="00A61FA8" w:rsidRDefault="00A61FA8" w:rsidP="00A61FA8">
      <w:pPr>
        <w:widowControl w:val="0"/>
        <w:autoSpaceDE w:val="0"/>
        <w:autoSpaceDN w:val="0"/>
        <w:adjustRightInd w:val="0"/>
        <w:rPr>
          <w:rFonts w:ascii="Times" w:hAnsi="Times" w:cs="AdvPTimes"/>
        </w:rPr>
      </w:pPr>
      <w:r w:rsidRPr="00A61FA8">
        <w:rPr>
          <w:rFonts w:ascii="Times" w:hAnsi="Times" w:cs="AdvPTimes"/>
        </w:rPr>
        <w:t>We would like to thank Drs. Ken Sebens and Emily Carrington for use of lab space and facilities at Friday Harbor Labs. Support from National Science Foundation grant EF1041213 to Dr. Carrington funded the construction of the ocean acidification system and analytical equipment used in this study. National Oceanographic and Atmospheric Administration Saltonstall-Kennedy Program grant # NA09NMF4270093 to Dr. Steven Roberts and Dr. Carolyn Friedman also supported this research project. Matt George, Laura Newcomb, and Michelle Herko provided help with maintenance of the ocean acidification system, larval care, and water chemistry analysis, respectively. Thank you to Dr. Richard Strathmann for his advice on larval care and to Dr. Billie Swalla for advice on fixation and for use of her lab space. Dr. Brent Vadopalas and Dr. Loveday Conquest were incredibly helpful with advice on statistical analysis. Lisa Crosson, Mackenzie Gavery, Caroline Storer, and Sam White provided valuable, critical feedback during the writing process. We are very appreciative of the thorough and helpful comments from two anonymous reviewers and from the editor of this issue, Dr. Sam Dupont.</w:t>
      </w:r>
    </w:p>
    <w:p w14:paraId="3213B9E4" w14:textId="44B163C1" w:rsidR="00A61FA8" w:rsidRDefault="005643FD" w:rsidP="00A61FA8">
      <w:pPr>
        <w:pStyle w:val="Heading2"/>
      </w:pPr>
      <w:bookmarkStart w:id="28" w:name="_Toc252109992"/>
      <w:r>
        <w:t>Works Cited</w:t>
      </w:r>
      <w:bookmarkEnd w:id="28"/>
    </w:p>
    <w:p w14:paraId="1A54EFA3" w14:textId="77777777" w:rsidR="00D826A9" w:rsidRPr="00D826A9" w:rsidRDefault="00D826A9" w:rsidP="00D826A9">
      <w:pPr>
        <w:ind w:left="720" w:hanging="720"/>
        <w:rPr>
          <w:rFonts w:ascii="Times" w:hAnsi="Times"/>
        </w:rPr>
      </w:pPr>
      <w:r w:rsidRPr="00D826A9">
        <w:rPr>
          <w:rFonts w:ascii="Times" w:hAnsi="Times"/>
        </w:rPr>
        <w:t xml:space="preserve">Banks SC, Ling SD, Johnson CR, Piggott MP, </w:t>
      </w:r>
      <w:proofErr w:type="gramStart"/>
      <w:r w:rsidRPr="00D826A9">
        <w:rPr>
          <w:rFonts w:ascii="Times" w:hAnsi="Times"/>
        </w:rPr>
        <w:t>Williamson JE, Behergegaray LB (2010) Genetic structure of a recent climate change-driven range extension</w:t>
      </w:r>
      <w:proofErr w:type="gramEnd"/>
      <w:r w:rsidRPr="00D826A9">
        <w:rPr>
          <w:rFonts w:ascii="Times" w:hAnsi="Times"/>
        </w:rPr>
        <w:t>. Molecular Ecology 19: 2011-2024</w:t>
      </w:r>
    </w:p>
    <w:p w14:paraId="477A0B11" w14:textId="77777777" w:rsidR="00D826A9" w:rsidRPr="00D826A9" w:rsidRDefault="00D826A9" w:rsidP="00D826A9">
      <w:pPr>
        <w:ind w:left="720" w:hanging="720"/>
        <w:rPr>
          <w:rFonts w:ascii="Times" w:hAnsi="Times"/>
        </w:rPr>
      </w:pPr>
      <w:r w:rsidRPr="00D826A9">
        <w:rPr>
          <w:rFonts w:ascii="Times" w:hAnsi="Times"/>
        </w:rPr>
        <w:t>Barton A, Hales B, Waldbusser G, Langdon C, Feely RA (2012) The Pacific oyster, Crassostrea gigas, shows negative correlation to naturally elevated carbon dioxide levels: Implications for near-term ocean acidification impacts. Limnology and Oceanography 57: 698-710</w:t>
      </w:r>
    </w:p>
    <w:p w14:paraId="300776A0" w14:textId="77777777" w:rsidR="00D826A9" w:rsidRPr="00D826A9" w:rsidRDefault="00D826A9" w:rsidP="00D826A9">
      <w:pPr>
        <w:ind w:left="720" w:hanging="720"/>
        <w:rPr>
          <w:rFonts w:ascii="Times" w:hAnsi="Times"/>
        </w:rPr>
      </w:pPr>
      <w:r w:rsidRPr="00D826A9">
        <w:rPr>
          <w:rFonts w:ascii="Times" w:hAnsi="Times"/>
        </w:rPr>
        <w:t xml:space="preserve">Beniash E, Ivanina A, Lieb NS, Kurochkin </w:t>
      </w:r>
      <w:proofErr w:type="gramStart"/>
      <w:r w:rsidRPr="00D826A9">
        <w:rPr>
          <w:rFonts w:ascii="Times" w:hAnsi="Times"/>
        </w:rPr>
        <w:t>Il</w:t>
      </w:r>
      <w:proofErr w:type="gramEnd"/>
      <w:r w:rsidRPr="00D826A9">
        <w:rPr>
          <w:rFonts w:ascii="Times" w:hAnsi="Times"/>
        </w:rPr>
        <w:t xml:space="preserve">, Sokolova IM (2010) Elevated levels of carbon dioxide affects metabolism and shell formation in oysters Crassostrea virginica. Marine Ecology Progress Series 419: 95-108 </w:t>
      </w:r>
    </w:p>
    <w:p w14:paraId="295E9DBC" w14:textId="77777777" w:rsidR="00D826A9" w:rsidRPr="00D826A9" w:rsidRDefault="00D826A9" w:rsidP="00D826A9">
      <w:pPr>
        <w:ind w:left="720" w:hanging="720"/>
        <w:rPr>
          <w:rFonts w:ascii="Times" w:hAnsi="Times"/>
        </w:rPr>
      </w:pPr>
      <w:r w:rsidRPr="00D826A9">
        <w:rPr>
          <w:rFonts w:ascii="Times" w:hAnsi="Times"/>
        </w:rPr>
        <w:t>Bonar DB, Coon SL, Walch M, Weiner RM, Fitt W (1990) Control of oyster settlement and metamorphosis by endogenous and exogenous chemical cues. Bulletin of Marine Science 46: 484-498.</w:t>
      </w:r>
    </w:p>
    <w:p w14:paraId="2DD60552" w14:textId="77777777" w:rsidR="00D826A9" w:rsidRPr="00D826A9" w:rsidRDefault="00D826A9" w:rsidP="00D826A9">
      <w:pPr>
        <w:ind w:left="720" w:hanging="720"/>
        <w:rPr>
          <w:rFonts w:ascii="Times" w:hAnsi="Times"/>
          <w:color w:val="0B0B0B"/>
        </w:rPr>
      </w:pPr>
      <w:r w:rsidRPr="00D826A9">
        <w:rPr>
          <w:rFonts w:ascii="Times" w:hAnsi="Times"/>
        </w:rPr>
        <w:t xml:space="preserve">Byrne M, Ho M, Wong E, Soars NA, Selyakumaraswamy P, Shepard-Brennand H, Dworjanyn SA, David AR (2010). Unshelled abalone and corrupted urchins: development of marine calcifiers in a changing ocean. Proc R Soc B. </w:t>
      </w:r>
      <w:r w:rsidRPr="00D826A9">
        <w:rPr>
          <w:rFonts w:ascii="Times" w:hAnsi="Times"/>
          <w:color w:val="0B0B0B"/>
        </w:rPr>
        <w:t>doi</w:t>
      </w:r>
      <w:proofErr w:type="gramStart"/>
      <w:r w:rsidRPr="00D826A9">
        <w:rPr>
          <w:rFonts w:ascii="Times" w:hAnsi="Times"/>
          <w:color w:val="0B0B0B"/>
        </w:rPr>
        <w:t>:10.1098</w:t>
      </w:r>
      <w:proofErr w:type="gramEnd"/>
      <w:r w:rsidRPr="00D826A9">
        <w:rPr>
          <w:rFonts w:ascii="Times" w:hAnsi="Times"/>
          <w:color w:val="0B0B0B"/>
        </w:rPr>
        <w:t>/rspb.2010.2404.</w:t>
      </w:r>
    </w:p>
    <w:p w14:paraId="0696F455" w14:textId="77777777" w:rsidR="00D826A9" w:rsidRPr="00D826A9" w:rsidRDefault="00D826A9" w:rsidP="00D826A9">
      <w:pPr>
        <w:ind w:left="720" w:hanging="720"/>
        <w:rPr>
          <w:rFonts w:ascii="Times" w:hAnsi="Times"/>
        </w:rPr>
      </w:pPr>
      <w:r w:rsidRPr="00D826A9">
        <w:rPr>
          <w:rFonts w:ascii="Times" w:hAnsi="Times"/>
        </w:rPr>
        <w:t xml:space="preserve">Byrne RH, Mecking S, Feely RA, Liu X (2010). </w:t>
      </w:r>
      <w:proofErr w:type="gramStart"/>
      <w:r w:rsidRPr="00D826A9">
        <w:rPr>
          <w:rFonts w:ascii="Times" w:hAnsi="Times"/>
        </w:rPr>
        <w:t>Direct observations of basin-wide acidification of the North Pacific Ocean.</w:t>
      </w:r>
      <w:proofErr w:type="gramEnd"/>
      <w:r w:rsidRPr="00D826A9">
        <w:rPr>
          <w:rFonts w:ascii="Times" w:hAnsi="Times"/>
        </w:rPr>
        <w:t xml:space="preserve"> </w:t>
      </w:r>
      <w:proofErr w:type="gramStart"/>
      <w:r w:rsidRPr="00D826A9">
        <w:rPr>
          <w:rFonts w:ascii="Times" w:hAnsi="Times"/>
        </w:rPr>
        <w:t>Geophysical Research Letters.</w:t>
      </w:r>
      <w:proofErr w:type="gramEnd"/>
      <w:r w:rsidRPr="00D826A9">
        <w:rPr>
          <w:rFonts w:ascii="Times" w:hAnsi="Times"/>
        </w:rPr>
        <w:t xml:space="preserve"> </w:t>
      </w:r>
      <w:proofErr w:type="gramStart"/>
      <w:r w:rsidRPr="00D826A9">
        <w:rPr>
          <w:rFonts w:ascii="Times" w:hAnsi="Times"/>
          <w:color w:val="0B0B0B"/>
        </w:rPr>
        <w:t>doi:10.1029</w:t>
      </w:r>
      <w:proofErr w:type="gramEnd"/>
      <w:r w:rsidRPr="00D826A9">
        <w:rPr>
          <w:rFonts w:ascii="Times" w:hAnsi="Times"/>
          <w:color w:val="0B0B0B"/>
        </w:rPr>
        <w:t>/2009GL040999</w:t>
      </w:r>
      <w:r w:rsidRPr="00D826A9">
        <w:rPr>
          <w:rFonts w:ascii="Times" w:hAnsi="Times"/>
        </w:rPr>
        <w:t xml:space="preserve"> </w:t>
      </w:r>
    </w:p>
    <w:p w14:paraId="682816AD" w14:textId="77777777" w:rsidR="00D826A9" w:rsidRPr="00D826A9" w:rsidRDefault="00D826A9" w:rsidP="00D826A9">
      <w:pPr>
        <w:ind w:left="720" w:hanging="720"/>
        <w:rPr>
          <w:rFonts w:ascii="Times" w:hAnsi="Times"/>
        </w:rPr>
      </w:pPr>
      <w:proofErr w:type="gramStart"/>
      <w:r w:rsidRPr="00D826A9">
        <w:rPr>
          <w:rFonts w:ascii="Times" w:hAnsi="Times"/>
        </w:rPr>
        <w:t>Caldeira K, Wickett ME (2003) Anthropogenic carbon and ocean pH.</w:t>
      </w:r>
      <w:proofErr w:type="gramEnd"/>
      <w:r w:rsidRPr="00D826A9">
        <w:rPr>
          <w:rFonts w:ascii="Times" w:hAnsi="Times"/>
        </w:rPr>
        <w:t xml:space="preserve"> </w:t>
      </w:r>
      <w:proofErr w:type="gramStart"/>
      <w:r w:rsidRPr="00D826A9">
        <w:rPr>
          <w:rFonts w:ascii="Times" w:hAnsi="Times"/>
        </w:rPr>
        <w:t>Nature 425:365.</w:t>
      </w:r>
      <w:proofErr w:type="gramEnd"/>
    </w:p>
    <w:p w14:paraId="64FAD4B8" w14:textId="77777777" w:rsidR="00D826A9" w:rsidRPr="00D826A9" w:rsidRDefault="00D826A9" w:rsidP="00D826A9">
      <w:pPr>
        <w:ind w:left="720" w:hanging="720"/>
        <w:rPr>
          <w:rFonts w:ascii="Times" w:hAnsi="Times"/>
        </w:rPr>
      </w:pPr>
      <w:r w:rsidRPr="00D826A9">
        <w:rPr>
          <w:rFonts w:ascii="Times" w:hAnsi="Times"/>
        </w:rPr>
        <w:t xml:space="preserve">Catarino AI, De Ridder C, Gonzalez M, Gallardo P, Dubois P (2011) Sea urchin Arbacia dufresnei (Blainville 1825) larvae response to ocean acidification. Polar Biology. </w:t>
      </w:r>
      <w:proofErr w:type="gramStart"/>
      <w:r w:rsidRPr="00D826A9">
        <w:rPr>
          <w:rFonts w:ascii="Times" w:hAnsi="Times"/>
        </w:rPr>
        <w:t>doi</w:t>
      </w:r>
      <w:proofErr w:type="gramEnd"/>
      <w:r w:rsidRPr="00D826A9">
        <w:rPr>
          <w:rFonts w:ascii="Times" w:hAnsi="Times"/>
        </w:rPr>
        <w:t>: 10.1007/s00300-011-1074-2</w:t>
      </w:r>
    </w:p>
    <w:p w14:paraId="05BF89F0" w14:textId="77777777" w:rsidR="00D826A9" w:rsidRPr="00D826A9" w:rsidRDefault="00D826A9" w:rsidP="00D826A9">
      <w:pPr>
        <w:ind w:left="720" w:hanging="720"/>
        <w:rPr>
          <w:rFonts w:ascii="Times" w:hAnsi="Times"/>
        </w:rPr>
      </w:pPr>
      <w:r w:rsidRPr="00D826A9">
        <w:rPr>
          <w:rFonts w:ascii="Times" w:hAnsi="Times"/>
        </w:rPr>
        <w:t>Coen LD, Luckenbach MW (2000) Developing success criteria and goals for evaluating oyster reef restoration: Ecological function or resource exploitation? Ecological Engineering 15: 323-343</w:t>
      </w:r>
    </w:p>
    <w:p w14:paraId="201B6FAA" w14:textId="77777777" w:rsidR="00D826A9" w:rsidRPr="00D826A9" w:rsidRDefault="00D826A9" w:rsidP="00D826A9">
      <w:pPr>
        <w:ind w:left="720" w:hanging="720"/>
        <w:rPr>
          <w:rFonts w:ascii="Times" w:hAnsi="Times"/>
        </w:rPr>
      </w:pPr>
      <w:r w:rsidRPr="00D826A9">
        <w:rPr>
          <w:rFonts w:ascii="Times" w:hAnsi="Times"/>
        </w:rPr>
        <w:t>Crim RN, Sunday JM, Harley CDG (2011) Elevated seawater CO2 concentrations impair larval development and reduce larval survival in endangered northern abalone (Haliotis kamtschatkana). Journal of Experimental Marine Biology and Ecology 400: 272-277</w:t>
      </w:r>
    </w:p>
    <w:p w14:paraId="57979E6E" w14:textId="77777777" w:rsidR="00D826A9" w:rsidRPr="00D826A9" w:rsidRDefault="00D826A9" w:rsidP="00D826A9">
      <w:pPr>
        <w:ind w:left="720" w:hanging="720"/>
        <w:rPr>
          <w:rFonts w:ascii="Times" w:hAnsi="Times"/>
        </w:rPr>
      </w:pPr>
      <w:r w:rsidRPr="00D826A9">
        <w:rPr>
          <w:rFonts w:ascii="Times" w:hAnsi="Times"/>
        </w:rPr>
        <w:t xml:space="preserve">Dickson AG, Sabine CL, </w:t>
      </w:r>
      <w:proofErr w:type="gramStart"/>
      <w:r w:rsidRPr="00D826A9">
        <w:rPr>
          <w:rFonts w:ascii="Times" w:hAnsi="Times"/>
        </w:rPr>
        <w:t>Christian JR</w:t>
      </w:r>
      <w:proofErr w:type="gramEnd"/>
      <w:r w:rsidRPr="00D826A9">
        <w:rPr>
          <w:rFonts w:ascii="Times" w:hAnsi="Times"/>
        </w:rPr>
        <w:t xml:space="preserve"> (2007) Guide to best practices for ocean CO2 measurements. Sidney, British Columbia, North Pacific Marine Science Organization, 176 pp.</w:t>
      </w:r>
    </w:p>
    <w:p w14:paraId="6EA5BB59" w14:textId="77777777" w:rsidR="00D826A9" w:rsidRPr="00D826A9" w:rsidRDefault="00D826A9" w:rsidP="00D826A9">
      <w:pPr>
        <w:ind w:left="720" w:hanging="720"/>
        <w:rPr>
          <w:rFonts w:ascii="Times" w:hAnsi="Times"/>
        </w:rPr>
      </w:pPr>
      <w:r w:rsidRPr="00D826A9">
        <w:rPr>
          <w:rFonts w:ascii="Times" w:hAnsi="Times"/>
        </w:rPr>
        <w:t>Dupont S, Lundve B, Thorndyke M (2010) Near future ocean acidification increases growth rate of the lecithotrophic larvae and juveniles of the sea star Crossaster papposus. J Exp Zool (Mol Dev Evol) 314B: 382-389</w:t>
      </w:r>
    </w:p>
    <w:p w14:paraId="671139EB" w14:textId="77777777" w:rsidR="00D826A9" w:rsidRPr="00D826A9" w:rsidRDefault="00D826A9" w:rsidP="00D826A9">
      <w:pPr>
        <w:ind w:left="720" w:hanging="720"/>
        <w:rPr>
          <w:rFonts w:ascii="Times" w:hAnsi="Times"/>
        </w:rPr>
      </w:pPr>
      <w:r w:rsidRPr="00D826A9">
        <w:rPr>
          <w:rFonts w:ascii="Times" w:hAnsi="Times"/>
        </w:rPr>
        <w:t>Elston RA, Hasegawa H, Humphrey KL, Polyak IK, Häse CC (2008) Re-emergence of Vibrio tubiashii in bivalve aquaculture: severity, environmental drivers, geographic extent, and management. Dis Aquat Org 82: 119-134</w:t>
      </w:r>
    </w:p>
    <w:p w14:paraId="1AE7DE7D" w14:textId="77777777" w:rsidR="00D826A9" w:rsidRPr="00D826A9" w:rsidRDefault="00D826A9" w:rsidP="00D826A9">
      <w:pPr>
        <w:ind w:left="720" w:hanging="720"/>
        <w:rPr>
          <w:rFonts w:ascii="Times" w:hAnsi="Times"/>
        </w:rPr>
      </w:pPr>
      <w:proofErr w:type="gramStart"/>
      <w:r w:rsidRPr="00D826A9">
        <w:rPr>
          <w:rFonts w:ascii="Times" w:hAnsi="Times"/>
        </w:rPr>
        <w:t>FAO Fisheries and Aquaculture Department (2010) World aquaculture 2010.</w:t>
      </w:r>
      <w:proofErr w:type="gramEnd"/>
      <w:r w:rsidRPr="00D826A9">
        <w:rPr>
          <w:rFonts w:ascii="Times" w:hAnsi="Times"/>
        </w:rPr>
        <w:t xml:space="preserve"> </w:t>
      </w:r>
      <w:proofErr w:type="gramStart"/>
      <w:r w:rsidRPr="00D826A9">
        <w:rPr>
          <w:rFonts w:ascii="Times" w:hAnsi="Times"/>
        </w:rPr>
        <w:t>FAO Fisheries and Aquaculture Department.</w:t>
      </w:r>
      <w:proofErr w:type="gramEnd"/>
      <w:r w:rsidRPr="00D826A9">
        <w:rPr>
          <w:rFonts w:ascii="Times" w:hAnsi="Times"/>
        </w:rPr>
        <w:t xml:space="preserve"> Technical Paper. No. 500/1. Rome, FAO. 2011. 105 pp.</w:t>
      </w:r>
    </w:p>
    <w:p w14:paraId="4C4F2D63" w14:textId="77777777" w:rsidR="00D826A9" w:rsidRPr="00D826A9" w:rsidRDefault="00D826A9" w:rsidP="00D826A9">
      <w:pPr>
        <w:ind w:left="720" w:hanging="720"/>
        <w:rPr>
          <w:rFonts w:ascii="Times" w:hAnsi="Times"/>
        </w:rPr>
      </w:pPr>
      <w:r w:rsidRPr="00D826A9">
        <w:rPr>
          <w:rFonts w:ascii="Times" w:hAnsi="Times"/>
        </w:rPr>
        <w:t>Fassbender AJ, Sabine CL, Feely RA, Langdon C, Mordy CW (2011) Inorganic carbon dynamics during northern California coastal upwelling. Continental Shelf Research 31: 1180-1192</w:t>
      </w:r>
    </w:p>
    <w:p w14:paraId="148D0FDA" w14:textId="77777777" w:rsidR="00D826A9" w:rsidRPr="00D826A9" w:rsidRDefault="00D826A9" w:rsidP="00D826A9">
      <w:pPr>
        <w:ind w:left="720" w:hanging="720"/>
        <w:rPr>
          <w:rFonts w:ascii="Times" w:hAnsi="Times"/>
        </w:rPr>
      </w:pPr>
      <w:r w:rsidRPr="00D826A9">
        <w:rPr>
          <w:rFonts w:ascii="Times" w:hAnsi="Times"/>
        </w:rPr>
        <w:t>Feely RA, Alin SR, Newton J, Sabine CL, Warner M, Devol A, Krembs C, Maloy C (2010) The combined effects of ocean acidification, mixing, and respiration on pH and carbonate saturation in an urbanized estuary. Estuarine, Coastal and Shelf Science 88: 442-449</w:t>
      </w:r>
    </w:p>
    <w:p w14:paraId="02A5CC5B" w14:textId="77777777" w:rsidR="00D826A9" w:rsidRPr="00D826A9" w:rsidRDefault="00D826A9" w:rsidP="00D826A9">
      <w:pPr>
        <w:ind w:left="720" w:hanging="720"/>
        <w:rPr>
          <w:rFonts w:ascii="Times" w:hAnsi="Times"/>
        </w:rPr>
      </w:pPr>
      <w:r w:rsidRPr="00D826A9">
        <w:rPr>
          <w:rFonts w:ascii="Times" w:hAnsi="Times"/>
        </w:rPr>
        <w:t>Feely RA, Sabine CL, Hernandez-Ayon JM, Ianson D, Hales B (2008) Evidence for upwelling of corrosive “acidified” water onto the continental shelf. Science 320: 1490-1492</w:t>
      </w:r>
    </w:p>
    <w:p w14:paraId="2D9D6E57" w14:textId="77777777" w:rsidR="00D826A9" w:rsidRPr="00D826A9" w:rsidRDefault="00D826A9" w:rsidP="00D826A9">
      <w:pPr>
        <w:ind w:left="720" w:hanging="720"/>
        <w:rPr>
          <w:rFonts w:ascii="Times" w:hAnsi="Times"/>
        </w:rPr>
      </w:pPr>
      <w:r w:rsidRPr="00D826A9">
        <w:rPr>
          <w:rFonts w:ascii="Times" w:hAnsi="Times"/>
        </w:rPr>
        <w:t>Gallager SM, Mann R, Sasaki GC (1986) Lipid as an index of growth and viability in three species of bivalve larvae. Aquaculture 56: 81-103</w:t>
      </w:r>
    </w:p>
    <w:p w14:paraId="0B9ECAB1" w14:textId="77777777" w:rsidR="00D826A9" w:rsidRPr="00D826A9" w:rsidRDefault="00D826A9" w:rsidP="00D826A9">
      <w:pPr>
        <w:ind w:left="720" w:hanging="720"/>
        <w:rPr>
          <w:rFonts w:ascii="Times" w:hAnsi="Times"/>
        </w:rPr>
      </w:pPr>
      <w:r w:rsidRPr="00D826A9">
        <w:rPr>
          <w:rFonts w:ascii="Times" w:hAnsi="Times"/>
        </w:rPr>
        <w:t>Gaylord B, Hill TM, Sanford E, Lenz EA, Jacobs LA, Sato KN, Russell AN, Hettinger A (2011) Functional impacts of ocean acidification in an ecologically critical foundation species. J Exp boil 214: 2586-2594</w:t>
      </w:r>
    </w:p>
    <w:p w14:paraId="65D28C90" w14:textId="77777777" w:rsidR="00D826A9" w:rsidRPr="00D826A9" w:rsidRDefault="00D826A9" w:rsidP="00D826A9">
      <w:pPr>
        <w:ind w:left="720" w:hanging="720"/>
        <w:rPr>
          <w:rFonts w:ascii="Times" w:hAnsi="Times"/>
        </w:rPr>
      </w:pPr>
      <w:r w:rsidRPr="00D826A9">
        <w:rPr>
          <w:rFonts w:ascii="Times" w:hAnsi="Times"/>
        </w:rPr>
        <w:t>Gazeau F, Gattuso J-P, Greaves M, Elderfield H, Peene J, Heip CHR, Middelburg JJ (2011) Effects of carbonate chemistry alteration on early embryonic development of the Pacific oyster (Crassostrea gigas). PLoS One doi</w:t>
      </w:r>
      <w:proofErr w:type="gramStart"/>
      <w:r w:rsidRPr="00D826A9">
        <w:rPr>
          <w:rFonts w:ascii="Times" w:hAnsi="Times"/>
        </w:rPr>
        <w:t>:10.1371</w:t>
      </w:r>
      <w:proofErr w:type="gramEnd"/>
      <w:r w:rsidRPr="00D826A9">
        <w:rPr>
          <w:rFonts w:ascii="Times" w:hAnsi="Times"/>
        </w:rPr>
        <w:t>/journal.pone.0023010</w:t>
      </w:r>
    </w:p>
    <w:p w14:paraId="59676D37" w14:textId="77777777" w:rsidR="00D826A9" w:rsidRPr="00D826A9" w:rsidRDefault="00D826A9" w:rsidP="00D826A9">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6FD5CF50" w14:textId="77777777" w:rsidR="00D826A9" w:rsidRPr="00D826A9" w:rsidRDefault="00D826A9" w:rsidP="00D826A9">
      <w:pPr>
        <w:ind w:left="720" w:hanging="720"/>
        <w:rPr>
          <w:rFonts w:ascii="Times" w:hAnsi="Times"/>
        </w:rPr>
      </w:pPr>
      <w:r w:rsidRPr="00D826A9">
        <w:rPr>
          <w:rFonts w:ascii="Times" w:hAnsi="Times"/>
        </w:rPr>
        <w:t>Henry RP, Kormanik GA, Smatresk NJ, Cameron JN (1981) The role of CaCO</w:t>
      </w:r>
      <w:r w:rsidRPr="00D826A9">
        <w:rPr>
          <w:rFonts w:ascii="Times" w:hAnsi="Times"/>
          <w:vertAlign w:val="subscript"/>
        </w:rPr>
        <w:t>3</w:t>
      </w:r>
      <w:r w:rsidRPr="00D826A9">
        <w:rPr>
          <w:rFonts w:ascii="Times" w:hAnsi="Times"/>
        </w:rPr>
        <w:t xml:space="preserve"> dissolution as a source of HCO</w:t>
      </w:r>
      <w:r w:rsidRPr="00D826A9">
        <w:rPr>
          <w:rFonts w:ascii="Times" w:hAnsi="Times"/>
          <w:vertAlign w:val="subscript"/>
        </w:rPr>
        <w:t>3</w:t>
      </w:r>
      <w:r w:rsidRPr="00D826A9">
        <w:rPr>
          <w:rFonts w:ascii="Times" w:hAnsi="Times"/>
          <w:vertAlign w:val="superscript"/>
        </w:rPr>
        <w:t>-</w:t>
      </w:r>
      <w:r w:rsidRPr="00D826A9">
        <w:rPr>
          <w:rFonts w:ascii="Times" w:hAnsi="Times"/>
        </w:rPr>
        <w:t xml:space="preserve"> for the buffering of hypercapnic acidosis in aquatic and terrestrial decapod crustaceans. J Exp Biol 94: 269-273.</w:t>
      </w:r>
    </w:p>
    <w:p w14:paraId="787F2552" w14:textId="77777777" w:rsidR="00D826A9" w:rsidRPr="00D826A9" w:rsidRDefault="00D826A9" w:rsidP="00D826A9">
      <w:pPr>
        <w:ind w:left="720" w:hanging="720"/>
        <w:rPr>
          <w:rFonts w:ascii="Times" w:hAnsi="Times"/>
        </w:rPr>
      </w:pPr>
      <w:r w:rsidRPr="00D826A9">
        <w:rPr>
          <w:rFonts w:ascii="Times" w:hAnsi="Times"/>
        </w:rPr>
        <w:t xml:space="preserve">Intergovernmental Panel on Climate Change (IPCC) (2007) Contribution of Working Groups </w:t>
      </w:r>
      <w:proofErr w:type="gramStart"/>
      <w:r w:rsidRPr="00D826A9">
        <w:rPr>
          <w:rFonts w:ascii="Times" w:hAnsi="Times"/>
        </w:rPr>
        <w:t>I, II, and III to the Fourth Assessment Report of the Intergovernmental Panel on Climate Change</w:t>
      </w:r>
      <w:proofErr w:type="gramEnd"/>
      <w:r w:rsidRPr="00D826A9">
        <w:rPr>
          <w:rFonts w:ascii="Times" w:hAnsi="Times"/>
        </w:rPr>
        <w:t xml:space="preserve">. Pachauri, R.K., Reisinger, A. (Eds.), IPCC, Geneva, Switzerland, pp. 104 </w:t>
      </w:r>
    </w:p>
    <w:p w14:paraId="40C7C555" w14:textId="77777777" w:rsidR="00D826A9" w:rsidRPr="00D826A9" w:rsidRDefault="00D826A9" w:rsidP="00D826A9">
      <w:pPr>
        <w:ind w:left="720" w:hanging="720"/>
        <w:rPr>
          <w:rFonts w:ascii="Times" w:hAnsi="Times"/>
        </w:rPr>
      </w:pPr>
      <w:r w:rsidRPr="00D826A9">
        <w:rPr>
          <w:rFonts w:ascii="Times" w:hAnsi="Times"/>
        </w:rPr>
        <w:t>Kurihara H, Kato S, Ishimatsu A. (2007) Effects of increased seawater pCO</w:t>
      </w:r>
      <w:r w:rsidRPr="00D826A9">
        <w:rPr>
          <w:rFonts w:ascii="Times" w:hAnsi="Times"/>
          <w:vertAlign w:val="subscript"/>
        </w:rPr>
        <w:t>2</w:t>
      </w:r>
      <w:r w:rsidRPr="00D826A9">
        <w:rPr>
          <w:rFonts w:ascii="Times" w:hAnsi="Times"/>
        </w:rPr>
        <w:t xml:space="preserve"> on early development of the oysters Crassostrea gigas. Aquatic Biology 1: 91-98</w:t>
      </w:r>
    </w:p>
    <w:p w14:paraId="4AEA222C" w14:textId="77777777" w:rsidR="00D826A9" w:rsidRPr="00D826A9" w:rsidRDefault="00D826A9" w:rsidP="00D826A9">
      <w:pPr>
        <w:ind w:left="720" w:hanging="720"/>
        <w:rPr>
          <w:rFonts w:ascii="Times" w:hAnsi="Times"/>
        </w:rPr>
      </w:pPr>
      <w:proofErr w:type="gramStart"/>
      <w:r w:rsidRPr="00D826A9">
        <w:rPr>
          <w:rFonts w:ascii="Times" w:hAnsi="Times"/>
        </w:rPr>
        <w:t>LaBarbera M (1974) Calcification of the first larval shell of Tridacna squamosa (Tridacnidae: Bivalvia).</w:t>
      </w:r>
      <w:proofErr w:type="gramEnd"/>
      <w:r w:rsidRPr="00D826A9">
        <w:rPr>
          <w:rFonts w:ascii="Times" w:hAnsi="Times"/>
        </w:rPr>
        <w:t xml:space="preserve"> Mar Biol 25: 233-238</w:t>
      </w:r>
    </w:p>
    <w:p w14:paraId="132DD917" w14:textId="77777777" w:rsidR="00D826A9" w:rsidRPr="00D826A9" w:rsidRDefault="00D826A9" w:rsidP="00D826A9">
      <w:pPr>
        <w:ind w:left="720" w:hanging="720"/>
        <w:rPr>
          <w:rFonts w:ascii="Times" w:hAnsi="Times"/>
        </w:rPr>
      </w:pPr>
      <w:r w:rsidRPr="00D826A9">
        <w:rPr>
          <w:rFonts w:ascii="Times" w:hAnsi="Times"/>
        </w:rPr>
        <w:t>Lannig G, Eilers S, Pörtner HO, Sokolova IM, Bock C (2010) Impact of ocean acidification on energy metabolism of Oyster, Crassostrea gigas-Changes in metabolic pathways and thermal response. Mar Drugs 8: 2318-2339</w:t>
      </w:r>
    </w:p>
    <w:p w14:paraId="60EDF86F" w14:textId="77777777" w:rsidR="00D826A9" w:rsidRPr="00D826A9" w:rsidRDefault="00D826A9" w:rsidP="00D826A9">
      <w:pPr>
        <w:ind w:left="720" w:hanging="720"/>
        <w:rPr>
          <w:rFonts w:ascii="Times" w:hAnsi="Times"/>
        </w:rPr>
      </w:pPr>
      <w:r w:rsidRPr="00D826A9">
        <w:rPr>
          <w:rFonts w:ascii="Times" w:hAnsi="Times"/>
        </w:rPr>
        <w:t>Marchant HK, Calosi P, Spicer JI (2010) Short-term exposure to hypercapnia does not compromise feeding, acid-base balance or respiration of Patella vulgata but surprisingly is accompanied by radula damage. Journal of the Marine Biological Association of the United Kingdom 90: 1379-1384</w:t>
      </w:r>
    </w:p>
    <w:p w14:paraId="24609331" w14:textId="77777777" w:rsidR="00D826A9" w:rsidRPr="00D826A9" w:rsidRDefault="00D826A9" w:rsidP="00D826A9">
      <w:pPr>
        <w:ind w:left="720" w:hanging="720"/>
        <w:rPr>
          <w:rFonts w:ascii="Times" w:hAnsi="Times"/>
        </w:rPr>
      </w:pPr>
      <w:r w:rsidRPr="00D826A9">
        <w:rPr>
          <w:rFonts w:ascii="Times" w:hAnsi="Times"/>
        </w:rPr>
        <w:t>Melzner F, STange P, Trubenbach K, Thomsen J, Casties I, Panknin U, Gorb SN, Gutowska MA (2011) Food supply and seawater pCO</w:t>
      </w:r>
      <w:r w:rsidRPr="00D826A9">
        <w:rPr>
          <w:rFonts w:ascii="Times" w:hAnsi="Times"/>
          <w:vertAlign w:val="subscript"/>
        </w:rPr>
        <w:t>2</w:t>
      </w:r>
      <w:r w:rsidRPr="00D826A9">
        <w:rPr>
          <w:rFonts w:ascii="Times" w:hAnsi="Times"/>
        </w:rPr>
        <w:t xml:space="preserve"> impact calcification and internal shell dissolution in the blue mussel Mytilus edulis. PLoS ONE 6: e24223. </w:t>
      </w:r>
      <w:proofErr w:type="gramStart"/>
      <w:r w:rsidRPr="00D826A9">
        <w:rPr>
          <w:rFonts w:ascii="Times" w:hAnsi="Times"/>
        </w:rPr>
        <w:t>doi:10.1371</w:t>
      </w:r>
      <w:proofErr w:type="gramEnd"/>
      <w:r w:rsidRPr="00D826A9">
        <w:rPr>
          <w:rFonts w:ascii="Times" w:hAnsi="Times"/>
        </w:rPr>
        <w:t>/journal.pone.0024223</w:t>
      </w:r>
    </w:p>
    <w:p w14:paraId="27FB829D" w14:textId="77777777" w:rsidR="00D826A9" w:rsidRPr="00D826A9" w:rsidRDefault="00D826A9" w:rsidP="00D826A9">
      <w:pPr>
        <w:ind w:left="720" w:hanging="720"/>
        <w:rPr>
          <w:rFonts w:ascii="Times" w:hAnsi="Times"/>
        </w:rPr>
      </w:pPr>
      <w:r w:rsidRPr="00D826A9">
        <w:rPr>
          <w:rFonts w:ascii="Times" w:hAnsi="Times"/>
        </w:rPr>
        <w:t>Miller AW, Reynolds AC, Sobrino C, Riedel GF (2009) Shellfish face uncertain future in high CO</w:t>
      </w:r>
      <w:r w:rsidRPr="00D826A9">
        <w:rPr>
          <w:rFonts w:ascii="Times" w:hAnsi="Times"/>
          <w:vertAlign w:val="subscript"/>
        </w:rPr>
        <w:t>2</w:t>
      </w:r>
      <w:r w:rsidRPr="00D826A9">
        <w:rPr>
          <w:rFonts w:ascii="Times" w:hAnsi="Times"/>
        </w:rPr>
        <w:t xml:space="preserve"> world: Influence of acidification on oyster larvae calcification and growth in estuaries. PLoS ONE 4: e5661. </w:t>
      </w:r>
      <w:proofErr w:type="gramStart"/>
      <w:r w:rsidRPr="00D826A9">
        <w:rPr>
          <w:rFonts w:ascii="Times" w:hAnsi="Times"/>
        </w:rPr>
        <w:t>doi:10.1371</w:t>
      </w:r>
      <w:proofErr w:type="gramEnd"/>
      <w:r w:rsidRPr="00D826A9">
        <w:rPr>
          <w:rFonts w:ascii="Times" w:hAnsi="Times"/>
        </w:rPr>
        <w:t>/journal.pone.0005661</w:t>
      </w:r>
    </w:p>
    <w:p w14:paraId="76CE8345" w14:textId="77777777" w:rsidR="00D826A9" w:rsidRPr="00D826A9" w:rsidRDefault="00D826A9" w:rsidP="00D826A9">
      <w:pPr>
        <w:ind w:left="720" w:hanging="720"/>
        <w:rPr>
          <w:rFonts w:ascii="Times" w:hAnsi="Times"/>
        </w:rPr>
      </w:pPr>
      <w:r w:rsidRPr="00D826A9">
        <w:rPr>
          <w:rFonts w:ascii="Times" w:hAnsi="Times"/>
        </w:rPr>
        <w:t>Miles H, Widdicombe S, Spicer JI, Hall-Spencer J (2007) Effects of anthropogenic seawater acidification on acid-base balance in the sea urchin Psammechinus miliaris. Marine Pollution Bulletin 54: 89-96</w:t>
      </w:r>
    </w:p>
    <w:p w14:paraId="6B8EDDC8" w14:textId="77777777" w:rsidR="00D826A9" w:rsidRPr="00D826A9" w:rsidRDefault="00D826A9" w:rsidP="00D826A9">
      <w:pPr>
        <w:ind w:left="720" w:hanging="720"/>
        <w:rPr>
          <w:rFonts w:ascii="Times" w:hAnsi="Times"/>
        </w:rPr>
      </w:pPr>
      <w:r w:rsidRPr="00D826A9">
        <w:rPr>
          <w:rFonts w:ascii="Times" w:hAnsi="Times"/>
        </w:rPr>
        <w:t xml:space="preserve">Narita D, Rehdanz K, Tol RSJ (2012) Economic costs of ocean acidification: a look into the impacts on global shellfish production. Climatic Change. </w:t>
      </w:r>
      <w:proofErr w:type="gramStart"/>
      <w:r w:rsidRPr="00D826A9">
        <w:rPr>
          <w:rFonts w:ascii="Times" w:hAnsi="Times"/>
        </w:rPr>
        <w:t>doi:10.1007</w:t>
      </w:r>
      <w:proofErr w:type="gramEnd"/>
      <w:r w:rsidRPr="00D826A9">
        <w:rPr>
          <w:rFonts w:ascii="Times" w:hAnsi="Times"/>
        </w:rPr>
        <w:t>/s10584-011-0383-3</w:t>
      </w:r>
    </w:p>
    <w:p w14:paraId="62DF3B43" w14:textId="77777777" w:rsidR="00D826A9" w:rsidRPr="00D826A9" w:rsidRDefault="00D826A9" w:rsidP="00D826A9">
      <w:pPr>
        <w:ind w:left="720" w:hanging="720"/>
        <w:rPr>
          <w:rFonts w:ascii="Times" w:hAnsi="Times"/>
        </w:rPr>
      </w:pPr>
      <w:r w:rsidRPr="00D826A9">
        <w:rPr>
          <w:rFonts w:ascii="Times" w:hAnsi="Times"/>
        </w:rPr>
        <w:t>O’Donnell MJ, Hammond LM, Hofmann GE (2009) Predicted impact of ocean acidification on a marine invertebrate: elevated CO</w:t>
      </w:r>
      <w:r w:rsidRPr="00D826A9">
        <w:rPr>
          <w:rFonts w:ascii="Times" w:hAnsi="Times"/>
          <w:vertAlign w:val="subscript"/>
        </w:rPr>
        <w:t>2</w:t>
      </w:r>
      <w:r w:rsidRPr="00D826A9">
        <w:rPr>
          <w:rFonts w:ascii="Times" w:hAnsi="Times"/>
        </w:rPr>
        <w:t xml:space="preserve"> alters response to thermal stress in sea urchin larvae. Mar Biol 156: 439-446</w:t>
      </w:r>
    </w:p>
    <w:p w14:paraId="28F1720D" w14:textId="77777777" w:rsidR="00D826A9" w:rsidRPr="00D826A9" w:rsidRDefault="00D826A9" w:rsidP="00D826A9">
      <w:pPr>
        <w:ind w:left="720" w:hanging="720"/>
        <w:rPr>
          <w:rFonts w:ascii="Times" w:hAnsi="Times"/>
        </w:rPr>
      </w:pPr>
      <w:r w:rsidRPr="00D826A9">
        <w:rPr>
          <w:rFonts w:ascii="Times" w:hAnsi="Times"/>
        </w:rPr>
        <w:t>Pace DA, Marsh AG, Leong PK, GreenAJ, Hedgecock D, Manahan DT (2006) Physiological bases of energetically determined variation in growth of marine invertebrate larvae: A study of growth heterosis in the bivalve Crassostrea gigas. Journal of Experimental Marine Biology and Ecology 335: 188-209.</w:t>
      </w:r>
    </w:p>
    <w:p w14:paraId="51B1281A" w14:textId="77777777" w:rsidR="00D826A9" w:rsidRPr="00D826A9" w:rsidRDefault="00D826A9" w:rsidP="00D826A9">
      <w:pPr>
        <w:ind w:left="720" w:hanging="720"/>
        <w:rPr>
          <w:rFonts w:ascii="Times" w:hAnsi="Times"/>
        </w:rPr>
      </w:pPr>
      <w:r w:rsidRPr="00D826A9">
        <w:rPr>
          <w:rFonts w:ascii="Times" w:hAnsi="Times"/>
        </w:rPr>
        <w:t>Pane EF, Barry JP (2007) Extracellular acid-base regulation during short-term hypercapnia is effective in a shallow-water crab, but ineffective in a deep-sea crab. Mar Ecol Prog Ser 334: 1-9</w:t>
      </w:r>
    </w:p>
    <w:p w14:paraId="145C3CF2" w14:textId="77777777" w:rsidR="00D826A9" w:rsidRPr="00D826A9" w:rsidRDefault="00D826A9" w:rsidP="00D826A9">
      <w:pPr>
        <w:ind w:left="720" w:hanging="720"/>
        <w:rPr>
          <w:rFonts w:ascii="Times" w:hAnsi="Times"/>
        </w:rPr>
      </w:pPr>
      <w:r w:rsidRPr="00D826A9">
        <w:rPr>
          <w:rFonts w:ascii="Times" w:hAnsi="Times"/>
        </w:rPr>
        <w:t>Parker LM, Ross PM, O’Connor WA (2010) comparing the effect of elevated pCO</w:t>
      </w:r>
      <w:r w:rsidRPr="00D826A9">
        <w:rPr>
          <w:rFonts w:ascii="Times" w:hAnsi="Times"/>
          <w:vertAlign w:val="subscript"/>
        </w:rPr>
        <w:t>2</w:t>
      </w:r>
      <w:r w:rsidRPr="00D826A9">
        <w:rPr>
          <w:rFonts w:ascii="Times" w:hAnsi="Times"/>
        </w:rPr>
        <w:t xml:space="preserve"> and temperature on the fertilization and early development of two species of oysters. Mar Biol 157: 2435-2452</w:t>
      </w:r>
    </w:p>
    <w:p w14:paraId="319ADF0A" w14:textId="77777777" w:rsidR="00D826A9" w:rsidRPr="00D826A9" w:rsidRDefault="00D826A9" w:rsidP="00D826A9">
      <w:pPr>
        <w:ind w:left="720" w:hanging="720"/>
        <w:rPr>
          <w:rFonts w:ascii="Times" w:hAnsi="Times"/>
        </w:rPr>
      </w:pPr>
      <w:r w:rsidRPr="00D826A9">
        <w:rPr>
          <w:rFonts w:ascii="Times" w:hAnsi="Times"/>
        </w:rPr>
        <w:t>Parker LM, Ross PM, O’Connor WA, Borysko L, Raftos DA, Portner H-O (2012) Adult exposure influences offspring response to ocean acidification in oysters. Global Change Biology 18: 82-92</w:t>
      </w:r>
    </w:p>
    <w:p w14:paraId="1D6B5548" w14:textId="77777777" w:rsidR="00D826A9" w:rsidRPr="00D826A9" w:rsidRDefault="00D826A9" w:rsidP="00D826A9">
      <w:pPr>
        <w:ind w:left="720" w:hanging="720"/>
        <w:rPr>
          <w:rFonts w:ascii="Times" w:hAnsi="Times"/>
        </w:rPr>
      </w:pPr>
      <w:r w:rsidRPr="00D826A9">
        <w:rPr>
          <w:rFonts w:ascii="Times" w:hAnsi="Times"/>
        </w:rPr>
        <w:t>Perry A, Low PJ, Ellis JR, Reynolds JD (2005) Climate change and distribution shifts in marine fishes. Science 308:1912-1915</w:t>
      </w:r>
    </w:p>
    <w:p w14:paraId="39B36C0B" w14:textId="77777777" w:rsidR="00D826A9" w:rsidRPr="00D826A9" w:rsidRDefault="00D826A9" w:rsidP="00D826A9">
      <w:pPr>
        <w:ind w:left="720" w:hanging="720"/>
        <w:rPr>
          <w:rFonts w:ascii="Times" w:hAnsi="Times"/>
        </w:rPr>
      </w:pPr>
      <w:proofErr w:type="gramStart"/>
      <w:r w:rsidRPr="00D826A9">
        <w:rPr>
          <w:rFonts w:ascii="Times" w:hAnsi="Times"/>
        </w:rPr>
        <w:t>Ries JB (2011) A physicochemical framework for interpreting the biological calcification response to CO</w:t>
      </w:r>
      <w:r w:rsidRPr="00D826A9">
        <w:rPr>
          <w:rFonts w:ascii="Times" w:hAnsi="Times"/>
          <w:vertAlign w:val="subscript"/>
        </w:rPr>
        <w:t>2</w:t>
      </w:r>
      <w:r w:rsidRPr="00D826A9">
        <w:rPr>
          <w:rFonts w:ascii="Times" w:hAnsi="Times"/>
        </w:rPr>
        <w:t>-induced ocean acidification.</w:t>
      </w:r>
      <w:proofErr w:type="gramEnd"/>
      <w:r w:rsidRPr="00D826A9">
        <w:rPr>
          <w:rFonts w:ascii="Times" w:hAnsi="Times"/>
        </w:rPr>
        <w:t xml:space="preserve"> Geochimica </w:t>
      </w:r>
      <w:proofErr w:type="gramStart"/>
      <w:r w:rsidRPr="00D826A9">
        <w:rPr>
          <w:rFonts w:ascii="Times" w:hAnsi="Times"/>
        </w:rPr>
        <w:t>et</w:t>
      </w:r>
      <w:proofErr w:type="gramEnd"/>
      <w:r w:rsidRPr="00D826A9">
        <w:rPr>
          <w:rFonts w:ascii="Times" w:hAnsi="Times"/>
        </w:rPr>
        <w:t xml:space="preserve"> Cosmochimica Acta 75: 4053-4064.</w:t>
      </w:r>
    </w:p>
    <w:p w14:paraId="3344C760" w14:textId="77777777" w:rsidR="00D826A9" w:rsidRPr="00D826A9" w:rsidRDefault="00D826A9" w:rsidP="00D826A9">
      <w:pPr>
        <w:ind w:left="720" w:hanging="720"/>
        <w:rPr>
          <w:rFonts w:ascii="Times" w:hAnsi="Times"/>
        </w:rPr>
      </w:pPr>
      <w:r w:rsidRPr="00D826A9">
        <w:rPr>
          <w:rFonts w:ascii="Times" w:hAnsi="Times"/>
        </w:rPr>
        <w:t>Robbins LL, Hansen ME, Kleypas JA</w:t>
      </w:r>
      <w:proofErr w:type="gramStart"/>
      <w:r w:rsidRPr="00D826A9">
        <w:rPr>
          <w:rFonts w:ascii="Times" w:hAnsi="Times"/>
        </w:rPr>
        <w:t>,Meylan</w:t>
      </w:r>
      <w:proofErr w:type="gramEnd"/>
      <w:r w:rsidRPr="00D826A9">
        <w:rPr>
          <w:rFonts w:ascii="Times" w:hAnsi="Times"/>
        </w:rPr>
        <w:t xml:space="preserve"> SC (2010) CO2calc: A User-Friendly Carbon Calculator for Windows, Mac OS X, and iOS (iPhone): U.S. Geological Survey Open File Report 2010-1280, 42pp.</w:t>
      </w:r>
    </w:p>
    <w:p w14:paraId="70A17E7F" w14:textId="77777777" w:rsidR="00D826A9" w:rsidRPr="00D826A9" w:rsidRDefault="00D826A9" w:rsidP="00D826A9">
      <w:pPr>
        <w:ind w:left="720" w:hanging="720"/>
        <w:rPr>
          <w:rFonts w:ascii="Times" w:hAnsi="Times"/>
        </w:rPr>
      </w:pPr>
      <w:r w:rsidRPr="00D826A9">
        <w:rPr>
          <w:rFonts w:ascii="Times" w:hAnsi="Times"/>
        </w:rPr>
        <w:t xml:space="preserve">Strathmann RR (1985) Feeding and nonfeeding larval development and </w:t>
      </w:r>
      <w:proofErr w:type="gramStart"/>
      <w:r w:rsidRPr="00D826A9">
        <w:rPr>
          <w:rFonts w:ascii="Times" w:hAnsi="Times"/>
        </w:rPr>
        <w:t>life-history</w:t>
      </w:r>
      <w:proofErr w:type="gramEnd"/>
      <w:r w:rsidRPr="00D826A9">
        <w:rPr>
          <w:rFonts w:ascii="Times" w:hAnsi="Times"/>
        </w:rPr>
        <w:t xml:space="preserve"> evolution in marine invertebrates. Ann. Rev. Ecol. Syst. 16: 339-361</w:t>
      </w:r>
    </w:p>
    <w:p w14:paraId="7E7EB90E" w14:textId="77777777" w:rsidR="00D826A9" w:rsidRPr="00D826A9" w:rsidRDefault="00D826A9" w:rsidP="00D826A9">
      <w:pPr>
        <w:ind w:left="720" w:hanging="720"/>
        <w:rPr>
          <w:rFonts w:ascii="Times" w:hAnsi="Times"/>
        </w:rPr>
      </w:pPr>
      <w:r w:rsidRPr="00D826A9">
        <w:rPr>
          <w:rFonts w:ascii="Times" w:hAnsi="Times"/>
        </w:rPr>
        <w:t>Stumpp M, Wren J, Melzner F, Thorndyke MC, Dupont ST (2011a) CO</w:t>
      </w:r>
      <w:r w:rsidRPr="00D826A9">
        <w:rPr>
          <w:rFonts w:ascii="Times" w:hAnsi="Times"/>
          <w:vertAlign w:val="subscript"/>
        </w:rPr>
        <w:t>2</w:t>
      </w:r>
      <w:r w:rsidRPr="00D826A9">
        <w:rPr>
          <w:rFonts w:ascii="Times" w:hAnsi="Times"/>
        </w:rPr>
        <w:t xml:space="preserve"> induced seawater acidification impacts sea urchin larval development I: Elevated metabolic rates decrease scope for growth and induce developmental delay Comparative Biochemistry and Physiology – Part A: Molecular and Integrative Physiology 160: 331-340</w:t>
      </w:r>
    </w:p>
    <w:p w14:paraId="5E8E5614" w14:textId="77777777" w:rsidR="00D826A9" w:rsidRPr="00D826A9" w:rsidRDefault="00D826A9" w:rsidP="00D826A9">
      <w:pPr>
        <w:ind w:left="720" w:hanging="720"/>
        <w:rPr>
          <w:rFonts w:ascii="Times" w:hAnsi="Times"/>
        </w:rPr>
      </w:pPr>
      <w:r w:rsidRPr="00D826A9">
        <w:rPr>
          <w:rFonts w:ascii="Times" w:hAnsi="Times"/>
        </w:rPr>
        <w:t>Stumpp M, Dupont ST, Thorndyke MC, Melzner F (2011b) CO</w:t>
      </w:r>
      <w:r w:rsidRPr="00D826A9">
        <w:rPr>
          <w:rFonts w:ascii="Times" w:hAnsi="Times"/>
          <w:vertAlign w:val="subscript"/>
        </w:rPr>
        <w:t>2</w:t>
      </w:r>
      <w:r w:rsidRPr="00D826A9">
        <w:rPr>
          <w:rFonts w:ascii="Times" w:hAnsi="Times"/>
        </w:rPr>
        <w:t xml:space="preserve"> induced seawater acidification impacts sea urchin larval development II: Gene expression patterns in pluteus larvae. Comparative Biochemistry and Physiology – Part A: Molecular and Integrative Physiology 160: 320-330</w:t>
      </w:r>
    </w:p>
    <w:p w14:paraId="1589312F" w14:textId="77777777" w:rsidR="00D826A9" w:rsidRPr="00D826A9" w:rsidRDefault="00D826A9" w:rsidP="00D826A9">
      <w:pPr>
        <w:ind w:left="720" w:hanging="720"/>
        <w:rPr>
          <w:rFonts w:ascii="Times" w:hAnsi="Times"/>
        </w:rPr>
      </w:pPr>
      <w:r w:rsidRPr="00D826A9">
        <w:rPr>
          <w:rFonts w:ascii="Times" w:hAnsi="Times"/>
        </w:rPr>
        <w:t>Talmage SC, Gobler CJ (2011) Effects of elevated temperature and carbon dioxide on the growth and survival of larvae and juveniles of three species of northwest Atlantic bivalves. PLoS One doi: 10.1371/journal.pone.0026941</w:t>
      </w:r>
    </w:p>
    <w:p w14:paraId="4B308B7A" w14:textId="77777777" w:rsidR="00D826A9" w:rsidRPr="00D826A9" w:rsidRDefault="00D826A9" w:rsidP="00D826A9">
      <w:pPr>
        <w:ind w:left="720" w:hanging="720"/>
        <w:rPr>
          <w:rFonts w:ascii="Times" w:hAnsi="Times"/>
        </w:rPr>
      </w:pPr>
      <w:r w:rsidRPr="00D826A9">
        <w:rPr>
          <w:rFonts w:ascii="Times" w:hAnsi="Times"/>
        </w:rPr>
        <w:t xml:space="preserve">Thomsen J, Melzner F (2010) Moderate seawater acidification does not </w:t>
      </w:r>
      <w:proofErr w:type="gramStart"/>
      <w:r w:rsidRPr="00D826A9">
        <w:rPr>
          <w:rFonts w:ascii="Times" w:hAnsi="Times"/>
        </w:rPr>
        <w:t>elicit</w:t>
      </w:r>
      <w:proofErr w:type="gramEnd"/>
      <w:r w:rsidRPr="00D826A9">
        <w:rPr>
          <w:rFonts w:ascii="Times" w:hAnsi="Times"/>
        </w:rPr>
        <w:t xml:space="preserve"> long-term metabolic depression in the blue mussel Mytilus edulis. Mar Biol 157: 2667-2676</w:t>
      </w:r>
    </w:p>
    <w:p w14:paraId="20639207" w14:textId="77777777" w:rsidR="00D826A9" w:rsidRPr="00D826A9" w:rsidRDefault="00D826A9" w:rsidP="00D826A9">
      <w:pPr>
        <w:ind w:left="720" w:hanging="720"/>
        <w:rPr>
          <w:rFonts w:ascii="Times" w:hAnsi="Times"/>
        </w:rPr>
      </w:pPr>
      <w:r w:rsidRPr="00D826A9">
        <w:rPr>
          <w:rFonts w:ascii="Times" w:hAnsi="Times"/>
        </w:rPr>
        <w:t>Tomanek L, Zuzow MJ, Ivanina AV, Beniash E, Sokolova IM (2011) Proteomic response to elevated P</w:t>
      </w:r>
      <w:r w:rsidRPr="00D826A9">
        <w:rPr>
          <w:rFonts w:ascii="Times" w:hAnsi="Times"/>
          <w:vertAlign w:val="subscript"/>
        </w:rPr>
        <w:t xml:space="preserve">CO2 </w:t>
      </w:r>
      <w:r w:rsidRPr="00D826A9">
        <w:rPr>
          <w:rFonts w:ascii="Times" w:hAnsi="Times"/>
        </w:rPr>
        <w:t>level in eastern oysters, Crassostrea virginica: evidence for oxidative stress. J Exp Biol 214: 1836-1844</w:t>
      </w:r>
    </w:p>
    <w:p w14:paraId="26E5CDB1" w14:textId="77777777" w:rsidR="00D826A9" w:rsidRPr="00D826A9" w:rsidRDefault="00D826A9" w:rsidP="00D826A9">
      <w:pPr>
        <w:ind w:left="720" w:hanging="720"/>
        <w:rPr>
          <w:rFonts w:ascii="Times" w:hAnsi="Times"/>
        </w:rPr>
      </w:pPr>
      <w:r w:rsidRPr="00D826A9">
        <w:rPr>
          <w:rFonts w:ascii="Times" w:hAnsi="Times"/>
        </w:rPr>
        <w:t>Underwood AJ, Fairweather PG (1989) Supply-side ecology and benthic marine assemblages. Trends in Ecology and Evolution 4: 16-20</w:t>
      </w:r>
    </w:p>
    <w:p w14:paraId="5910CD26" w14:textId="77777777" w:rsidR="00D826A9" w:rsidRPr="00D826A9" w:rsidRDefault="00D826A9" w:rsidP="00D826A9">
      <w:pPr>
        <w:ind w:left="720" w:hanging="720"/>
        <w:rPr>
          <w:rFonts w:ascii="Times" w:hAnsi="Times"/>
        </w:rPr>
      </w:pPr>
      <w:r w:rsidRPr="00D826A9">
        <w:rPr>
          <w:rFonts w:ascii="Times" w:hAnsi="Times"/>
        </w:rPr>
        <w:t xml:space="preserve">Watson S-A, Southgate PC, Tyler PA, Peck LS (2009) Early larval development of the Sydney rock oyster </w:t>
      </w:r>
      <w:r w:rsidRPr="00D826A9">
        <w:rPr>
          <w:rFonts w:ascii="Times" w:hAnsi="Times"/>
          <w:i/>
        </w:rPr>
        <w:t xml:space="preserve">Saccostrea glomerata </w:t>
      </w:r>
      <w:r w:rsidRPr="00D826A9">
        <w:rPr>
          <w:rFonts w:ascii="Times" w:hAnsi="Times"/>
        </w:rPr>
        <w:t>under near-future predictions of CO</w:t>
      </w:r>
      <w:r w:rsidRPr="00D826A9">
        <w:rPr>
          <w:rFonts w:ascii="Times" w:hAnsi="Times"/>
          <w:vertAlign w:val="subscript"/>
        </w:rPr>
        <w:t>2</w:t>
      </w:r>
      <w:r w:rsidRPr="00D826A9">
        <w:rPr>
          <w:rFonts w:ascii="Times" w:hAnsi="Times"/>
        </w:rPr>
        <w:t>-driven ocean acidification. Journal of Shellfish Research 28: 431-437</w:t>
      </w:r>
    </w:p>
    <w:p w14:paraId="749B2070" w14:textId="77777777" w:rsidR="00D826A9" w:rsidRPr="00D826A9" w:rsidRDefault="00D826A9" w:rsidP="00D826A9">
      <w:pPr>
        <w:ind w:left="720" w:hanging="720"/>
        <w:rPr>
          <w:rFonts w:ascii="Times" w:hAnsi="Times"/>
        </w:rPr>
      </w:pPr>
      <w:r w:rsidRPr="00D826A9">
        <w:rPr>
          <w:rFonts w:ascii="Times" w:hAnsi="Times"/>
        </w:rPr>
        <w:t>Weiss IM (2011) Biomaterials: Metabolites empowering minerals. Nature Chemical Biology 7: 192-193.</w:t>
      </w:r>
    </w:p>
    <w:p w14:paraId="7E386FA1" w14:textId="77777777" w:rsidR="00D826A9" w:rsidRPr="00D826A9" w:rsidRDefault="00D826A9" w:rsidP="00D826A9">
      <w:pPr>
        <w:ind w:left="720" w:hanging="720"/>
        <w:rPr>
          <w:rFonts w:ascii="Times" w:hAnsi="Times"/>
        </w:rPr>
      </w:pPr>
      <w:r w:rsidRPr="00D826A9">
        <w:rPr>
          <w:rFonts w:ascii="Times" w:hAnsi="Times"/>
        </w:rPr>
        <w:t>Weiss IM, Tuross N, Addadi L, Weiner S (2002) Mollusc larval shell formation: Amorphous calcium carbonate is a precursor phase for aragonite. J Exp Zool 293: 478-491</w:t>
      </w:r>
    </w:p>
    <w:p w14:paraId="561F78EF" w14:textId="77777777" w:rsidR="00D826A9" w:rsidRPr="00D826A9" w:rsidRDefault="00D826A9" w:rsidP="00D826A9">
      <w:pPr>
        <w:ind w:left="720" w:hanging="720"/>
        <w:rPr>
          <w:rFonts w:ascii="Times" w:hAnsi="Times"/>
        </w:rPr>
      </w:pPr>
      <w:r w:rsidRPr="00D826A9">
        <w:rPr>
          <w:rFonts w:ascii="Times" w:hAnsi="Times"/>
        </w:rPr>
        <w:t>Wong KKW, Lane AC, Leung PTY, Thiyagarajan V (2011) Response of larval barnacle proteome to CO</w:t>
      </w:r>
      <w:r w:rsidRPr="00D826A9">
        <w:rPr>
          <w:rFonts w:ascii="Times" w:hAnsi="Times"/>
          <w:vertAlign w:val="subscript"/>
        </w:rPr>
        <w:t>2</w:t>
      </w:r>
      <w:r w:rsidRPr="00D826A9">
        <w:rPr>
          <w:rFonts w:ascii="Times" w:hAnsi="Times"/>
        </w:rPr>
        <w:t xml:space="preserve">-driven seawater acidification. Comparative Biochemistry and Physiology Part D: Genomics and Proteomics 6: 310-321 </w:t>
      </w:r>
    </w:p>
    <w:p w14:paraId="106F55FF" w14:textId="77777777" w:rsidR="00D826A9" w:rsidRPr="00D826A9" w:rsidRDefault="00D826A9" w:rsidP="00D826A9">
      <w:pPr>
        <w:ind w:left="720" w:hanging="720"/>
        <w:rPr>
          <w:rFonts w:ascii="Times" w:hAnsi="Times"/>
        </w:rPr>
      </w:pPr>
      <w:r w:rsidRPr="00D826A9">
        <w:rPr>
          <w:rFonts w:ascii="Times" w:hAnsi="Times"/>
        </w:rPr>
        <w:t>Yu PC, Matson PG, Martz TR, Hofmann GE (2011) The ocean acidification seascape and its relationship to the performance of calcifying marine invertebrates: Laboratory experiments on the development of urchin larvae framed by environmentally-relevant pCO</w:t>
      </w:r>
      <w:r w:rsidRPr="00D826A9">
        <w:rPr>
          <w:rFonts w:ascii="Times" w:hAnsi="Times"/>
          <w:vertAlign w:val="subscript"/>
        </w:rPr>
        <w:t>2</w:t>
      </w:r>
      <w:r w:rsidRPr="00D826A9">
        <w:rPr>
          <w:rFonts w:ascii="Times" w:hAnsi="Times"/>
        </w:rPr>
        <w:t>/pH.  Journal of Experimental Marine Biology and Ecology 400: 288-295</w:t>
      </w:r>
    </w:p>
    <w:p w14:paraId="57315349" w14:textId="77777777" w:rsidR="00D826A9" w:rsidRPr="00D826A9" w:rsidRDefault="00D826A9" w:rsidP="00D826A9"/>
    <w:p w14:paraId="644CAB58" w14:textId="77777777" w:rsidR="005643FD" w:rsidRDefault="005643FD" w:rsidP="005643FD"/>
    <w:p w14:paraId="6C562CB4" w14:textId="77777777" w:rsidR="005643FD" w:rsidRDefault="005643FD" w:rsidP="005643FD"/>
    <w:p w14:paraId="40FDD825" w14:textId="77777777" w:rsidR="005643FD" w:rsidRDefault="005643FD" w:rsidP="005643FD"/>
    <w:p w14:paraId="6559ECDD" w14:textId="77777777" w:rsidR="005643FD" w:rsidRDefault="005643FD" w:rsidP="005643FD"/>
    <w:p w14:paraId="45E0C9EE" w14:textId="77777777" w:rsidR="005643FD" w:rsidRDefault="005643FD" w:rsidP="005643FD"/>
    <w:p w14:paraId="5BAF7BA9" w14:textId="77777777" w:rsidR="005643FD" w:rsidRDefault="005643FD" w:rsidP="005643FD"/>
    <w:p w14:paraId="7627F82E" w14:textId="77777777" w:rsidR="005643FD" w:rsidRDefault="005643FD" w:rsidP="005643FD"/>
    <w:p w14:paraId="7668EB3A" w14:textId="77777777" w:rsidR="005643FD" w:rsidRDefault="005643FD" w:rsidP="005643FD"/>
    <w:p w14:paraId="32150D47" w14:textId="77777777" w:rsidR="005643FD" w:rsidRDefault="005643FD" w:rsidP="005643FD"/>
    <w:p w14:paraId="6CAB2459" w14:textId="77777777" w:rsidR="005643FD" w:rsidRDefault="005643FD" w:rsidP="005643FD"/>
    <w:p w14:paraId="7C9E5613" w14:textId="77777777" w:rsidR="005643FD" w:rsidRDefault="005643FD" w:rsidP="005643FD"/>
    <w:p w14:paraId="61591EE5" w14:textId="77777777" w:rsidR="005643FD" w:rsidRDefault="005643FD" w:rsidP="005643FD"/>
    <w:p w14:paraId="33032B1B" w14:textId="77777777" w:rsidR="005643FD" w:rsidRDefault="005643FD" w:rsidP="005643FD"/>
    <w:p w14:paraId="1B998493" w14:textId="77777777" w:rsidR="005643FD" w:rsidRDefault="005643FD" w:rsidP="005643FD"/>
    <w:p w14:paraId="6B7FC61B" w14:textId="77777777" w:rsidR="005643FD" w:rsidRDefault="005643FD" w:rsidP="005643FD"/>
    <w:p w14:paraId="1FDFD752" w14:textId="77777777" w:rsidR="005643FD" w:rsidRDefault="005643FD" w:rsidP="005643FD"/>
    <w:p w14:paraId="695432A3" w14:textId="77777777" w:rsidR="005643FD" w:rsidRDefault="005643FD" w:rsidP="005643FD"/>
    <w:p w14:paraId="5E278CDA" w14:textId="77777777" w:rsidR="005643FD" w:rsidRDefault="005643FD" w:rsidP="005643FD"/>
    <w:p w14:paraId="2E5367C7" w14:textId="77777777" w:rsidR="005643FD" w:rsidRDefault="005643FD" w:rsidP="005643FD"/>
    <w:p w14:paraId="50C11C4D" w14:textId="77777777" w:rsidR="005643FD" w:rsidRDefault="005643FD" w:rsidP="005643FD"/>
    <w:p w14:paraId="1B679C1A" w14:textId="77777777" w:rsidR="005643FD" w:rsidRDefault="005643FD" w:rsidP="005643FD"/>
    <w:p w14:paraId="70DC5B06" w14:textId="77777777" w:rsidR="005643FD" w:rsidRDefault="005643FD" w:rsidP="005643FD"/>
    <w:p w14:paraId="509CDD41" w14:textId="77777777" w:rsidR="005643FD" w:rsidRDefault="005643FD" w:rsidP="005643FD"/>
    <w:p w14:paraId="2CE0EBFE" w14:textId="77777777" w:rsidR="005643FD" w:rsidRDefault="005643FD" w:rsidP="005643FD"/>
    <w:p w14:paraId="4BCA3FE5" w14:textId="77777777" w:rsidR="005643FD" w:rsidRDefault="005643FD" w:rsidP="005643FD"/>
    <w:p w14:paraId="29021F1E" w14:textId="77777777" w:rsidR="005643FD" w:rsidRDefault="005643FD" w:rsidP="005643FD"/>
    <w:p w14:paraId="51707D17" w14:textId="77777777" w:rsidR="005643FD" w:rsidRDefault="005643FD" w:rsidP="005643FD"/>
    <w:p w14:paraId="637BC839" w14:textId="77777777" w:rsidR="005643FD" w:rsidRDefault="005643FD" w:rsidP="005643FD"/>
    <w:p w14:paraId="123F53F6" w14:textId="77777777" w:rsidR="00C02D9B" w:rsidRDefault="00C02D9B" w:rsidP="005643FD">
      <w:pPr>
        <w:pStyle w:val="Heading1"/>
      </w:pPr>
      <w:bookmarkStart w:id="29" w:name="_Toc252109993"/>
      <w:r>
        <w:t>Chapter II:  Shotgun proteomics as a viable approach for biological discovery in the Pacific oyster</w:t>
      </w:r>
      <w:bookmarkEnd w:id="29"/>
    </w:p>
    <w:p w14:paraId="0F4FC384" w14:textId="77777777" w:rsidR="00722A74" w:rsidRDefault="00722A74" w:rsidP="00722A74"/>
    <w:p w14:paraId="020C61B8" w14:textId="25A10817" w:rsidR="00722A74" w:rsidRPr="00722A74" w:rsidRDefault="00722A74" w:rsidP="00722A74">
      <w:r>
        <w:t>Published in Conservation Physiology as: Timmins-Schiffman, E., Nunn, B.L., Goodlett, D.R., and Robe</w:t>
      </w:r>
      <w:r w:rsidR="00326AC2">
        <w:t xml:space="preserve">rts, S.B. 2013. </w:t>
      </w:r>
      <w:proofErr w:type="gramStart"/>
      <w:r w:rsidR="00326AC2">
        <w:t>Shotgun proteomics as a viable approach for biological discovery in the Pacific oyster.</w:t>
      </w:r>
      <w:proofErr w:type="gramEnd"/>
      <w:r w:rsidR="00326AC2">
        <w:t xml:space="preserve"> Conserv Physiol, 1. </w:t>
      </w:r>
      <w:proofErr w:type="gramStart"/>
      <w:r w:rsidR="00326AC2">
        <w:t>doi</w:t>
      </w:r>
      <w:proofErr w:type="gramEnd"/>
      <w:r w:rsidR="00326AC2">
        <w:t xml:space="preserve"> 10.1093/conphys/cot009</w:t>
      </w:r>
    </w:p>
    <w:p w14:paraId="30874BC8" w14:textId="47647BF2" w:rsidR="00722A74" w:rsidRDefault="00C02D9B" w:rsidP="00722A74">
      <w:pPr>
        <w:pStyle w:val="Heading2"/>
      </w:pPr>
      <w:bookmarkStart w:id="30" w:name="_Toc252109994"/>
      <w:r>
        <w:t>Abstract</w:t>
      </w:r>
      <w:bookmarkEnd w:id="30"/>
    </w:p>
    <w:p w14:paraId="7F65CE87" w14:textId="77777777" w:rsidR="0013210F" w:rsidRPr="0013210F" w:rsidRDefault="0013210F" w:rsidP="0013210F"/>
    <w:p w14:paraId="26FB2D0B" w14:textId="517317CA" w:rsidR="00722A74" w:rsidRPr="00722A74" w:rsidRDefault="00722A74" w:rsidP="00426D9F">
      <w:pPr>
        <w:spacing w:line="360" w:lineRule="auto"/>
        <w:rPr>
          <w:rFonts w:ascii="Times" w:hAnsi="Times"/>
        </w:rPr>
      </w:pPr>
      <w:r>
        <w:t xml:space="preserve"> </w:t>
      </w:r>
      <w:r w:rsidRPr="00722A74">
        <w:rPr>
          <w:rFonts w:ascii="Times" w:hAnsi="Times"/>
          <w:bCs/>
        </w:rPr>
        <w:t>Shotgun proteomics offers an efficient means to characterize proteins in a complex mixture, particularly when sufficient genomic resources are available. In order to assess the practical application of shotgun proteomics in the Pacific oyster (</w:t>
      </w:r>
      <w:r w:rsidRPr="00722A74">
        <w:rPr>
          <w:rFonts w:ascii="Times" w:hAnsi="Times"/>
          <w:bCs/>
          <w:i/>
          <w:iCs/>
        </w:rPr>
        <w:t>Crassostrea gigas</w:t>
      </w:r>
      <w:r w:rsidRPr="00722A74">
        <w:rPr>
          <w:rFonts w:ascii="Times" w:hAnsi="Times"/>
          <w:bCs/>
        </w:rPr>
        <w:t>), liquid chromatography coupled with tandem mass spectrometry was used to characterize the gill pro</w:t>
      </w:r>
      <w:r w:rsidRPr="00722A74">
        <w:rPr>
          <w:rFonts w:ascii="Times" w:hAnsi="Times"/>
          <w:bCs/>
        </w:rPr>
        <w:softHyphen/>
        <w:t>teome. Using information from the recently published Pacific oyster genome, 1043 proteins were identified. Biological samples (</w:t>
      </w:r>
      <w:r w:rsidRPr="00722A74">
        <w:rPr>
          <w:rFonts w:ascii="Times" w:hAnsi="Times"/>
          <w:bCs/>
          <w:i/>
          <w:iCs/>
        </w:rPr>
        <w:t xml:space="preserve">n </w:t>
      </w:r>
      <w:r w:rsidRPr="00722A74">
        <w:rPr>
          <w:rFonts w:ascii="Times" w:hAnsi="Times"/>
        </w:rPr>
        <w:t xml:space="preserve">= </w:t>
      </w:r>
      <w:r w:rsidRPr="00722A74">
        <w:rPr>
          <w:rFonts w:ascii="Times" w:hAnsi="Times"/>
          <w:bCs/>
        </w:rPr>
        <w:t>4) and corresponding technical replicates (three) were similar in both specific proteins identified and expression, as deter</w:t>
      </w:r>
      <w:r w:rsidRPr="00722A74">
        <w:rPr>
          <w:rFonts w:ascii="Times" w:hAnsi="Times"/>
          <w:bCs/>
        </w:rPr>
        <w:softHyphen/>
        <w:t>mined by normalized spectral abundance factor. A majority of the proteins identified (703) were present in all biological sam</w:t>
      </w:r>
      <w:r w:rsidRPr="00722A74">
        <w:rPr>
          <w:rFonts w:ascii="Times" w:hAnsi="Times"/>
          <w:bCs/>
        </w:rPr>
        <w:softHyphen/>
        <w:t xml:space="preserve">ples. Functional analysis of the protein repertoire illustrates that these proteins represent a wide range of biological processes, supporting the dynamic function of the gill. These insights are important for understanding environmental influences on the oyster, because the gill tissue acts as the interface between the oyster and its environment. </w:t>
      </w:r>
      <w:r w:rsidRPr="00722A74">
        <w:rPr>
          <w:rFonts w:ascii="Times" w:hAnsi="Times"/>
          <w:bCs/>
          <w:i/>
          <w:iCs/>
        </w:rPr>
        <w:t xml:space="preserve">In silico </w:t>
      </w:r>
      <w:r w:rsidRPr="00722A74">
        <w:rPr>
          <w:rFonts w:ascii="Times" w:hAnsi="Times"/>
          <w:bCs/>
        </w:rPr>
        <w:t>analysis indicated that this sequencing effort identified a large proportion of the complete gill proteome. Together, these data demonstrate that shotgun sequencing is a viable approach for biological discovery and will play an important role in future studies of oyster physiology.</w:t>
      </w:r>
    </w:p>
    <w:p w14:paraId="5C4DBFF2" w14:textId="77777777" w:rsidR="00C02D9B" w:rsidRDefault="00C02D9B" w:rsidP="00C02D9B">
      <w:pPr>
        <w:pStyle w:val="Heading2"/>
      </w:pPr>
      <w:bookmarkStart w:id="31" w:name="_Toc252109995"/>
      <w:r>
        <w:t>Introduction</w:t>
      </w:r>
      <w:bookmarkEnd w:id="31"/>
    </w:p>
    <w:p w14:paraId="7FB1015B" w14:textId="77777777" w:rsidR="0013210F" w:rsidRPr="0013210F" w:rsidRDefault="0013210F" w:rsidP="0013210F"/>
    <w:p w14:paraId="40CA7D68" w14:textId="28F8F102" w:rsidR="00326AC2" w:rsidRPr="00326AC2" w:rsidRDefault="00326AC2" w:rsidP="00426D9F">
      <w:pPr>
        <w:pStyle w:val="Default"/>
        <w:spacing w:line="360" w:lineRule="auto"/>
        <w:ind w:firstLine="720"/>
        <w:rPr>
          <w:rFonts w:ascii="Times" w:hAnsi="Times" w:cs="Sabon"/>
        </w:rPr>
      </w:pPr>
      <w:r w:rsidRPr="00326AC2">
        <w:rPr>
          <w:rFonts w:ascii="Times" w:hAnsi="Times" w:cs="Sabon"/>
        </w:rPr>
        <w:t>Fluctuations in gene and protein expression can be sensitive and specific indicators of biological processes. At the tran</w:t>
      </w:r>
      <w:r w:rsidRPr="00326AC2">
        <w:rPr>
          <w:rFonts w:ascii="Times" w:hAnsi="Times" w:cs="Sabon"/>
        </w:rPr>
        <w:softHyphen/>
        <w:t xml:space="preserve">script level, several methodologies can be used to characterize expression from the gene-centric to systems level, including quantitative PCR (e.g. Griffitt </w:t>
      </w:r>
      <w:r w:rsidRPr="00326AC2">
        <w:rPr>
          <w:rFonts w:ascii="Times" w:hAnsi="Times" w:cs="Sabon"/>
          <w:i/>
          <w:iCs/>
        </w:rPr>
        <w:t>et al.</w:t>
      </w:r>
      <w:r w:rsidRPr="00326AC2">
        <w:rPr>
          <w:rFonts w:ascii="Times" w:hAnsi="Times" w:cs="Sabon"/>
        </w:rPr>
        <w:t xml:space="preserve">, 2006; Stumpp </w:t>
      </w:r>
      <w:r w:rsidRPr="00326AC2">
        <w:rPr>
          <w:rFonts w:ascii="Times" w:hAnsi="Times" w:cs="Sabon"/>
          <w:i/>
          <w:iCs/>
        </w:rPr>
        <w:t>et al.</w:t>
      </w:r>
      <w:r w:rsidRPr="00326AC2">
        <w:rPr>
          <w:rFonts w:ascii="Times" w:hAnsi="Times" w:cs="Sabon"/>
        </w:rPr>
        <w:t xml:space="preserve">, 2011), microarrays (e.g. Todgham and Hofmann, 2009; Lockwood </w:t>
      </w:r>
      <w:r w:rsidRPr="00326AC2">
        <w:rPr>
          <w:rFonts w:ascii="Times" w:hAnsi="Times" w:cs="Sabon"/>
          <w:i/>
          <w:iCs/>
        </w:rPr>
        <w:t>et al.</w:t>
      </w:r>
      <w:r w:rsidRPr="00326AC2">
        <w:rPr>
          <w:rFonts w:ascii="Times" w:hAnsi="Times" w:cs="Sabon"/>
        </w:rPr>
        <w:t xml:space="preserve">, 2010), and high-throughput sequencing (e.g. Polato </w:t>
      </w:r>
      <w:r w:rsidRPr="00326AC2">
        <w:rPr>
          <w:rFonts w:ascii="Times" w:hAnsi="Times" w:cs="Sabon"/>
          <w:i/>
          <w:iCs/>
        </w:rPr>
        <w:t>et al.</w:t>
      </w:r>
      <w:r w:rsidRPr="00326AC2">
        <w:rPr>
          <w:rFonts w:ascii="Times" w:hAnsi="Times" w:cs="Sabon"/>
        </w:rPr>
        <w:t xml:space="preserve">, 2011; Philipp </w:t>
      </w:r>
      <w:r w:rsidRPr="00326AC2">
        <w:rPr>
          <w:rFonts w:ascii="Times" w:hAnsi="Times" w:cs="Sabon"/>
          <w:i/>
          <w:iCs/>
        </w:rPr>
        <w:t>et al.</w:t>
      </w:r>
      <w:r w:rsidRPr="00326AC2">
        <w:rPr>
          <w:rFonts w:ascii="Times" w:hAnsi="Times" w:cs="Sabon"/>
        </w:rPr>
        <w:t>, 2012). The use of high-throughput sequencing technology has exponentially increased available genome and transcript information for taxa of ecological interest in recent years. While these results provide an accurate portrayal of changes at the molecular level, it is common that proteins have a more direct role in regulating physiological processes and responding to environ</w:t>
      </w:r>
      <w:r w:rsidRPr="00326AC2">
        <w:rPr>
          <w:rFonts w:ascii="Times" w:hAnsi="Times" w:cs="Sabon"/>
        </w:rPr>
        <w:softHyphen/>
        <w:t>mental change.</w:t>
      </w:r>
    </w:p>
    <w:p w14:paraId="2391A104" w14:textId="7C9AB1ED"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Historically, there have been several technical and analyti</w:t>
      </w:r>
      <w:r w:rsidRPr="00326AC2">
        <w:rPr>
          <w:rFonts w:ascii="Times" w:hAnsi="Times" w:cs="Sabon"/>
        </w:rPr>
        <w:softHyphen/>
        <w:t xml:space="preserve">cal challenges in characterizing global protein expression.  One challenge is the need to have sufficient genomic resources available to describe proteins of interest. Specifically, protein sequencing generally produces short amino acid fragments that require a known corresponding gene for identification and annotation purposes. However, lack of genomic resources has not completely hampered proteomic studies. For example, researchers characterized the physiological response of </w:t>
      </w:r>
      <w:r w:rsidRPr="00326AC2">
        <w:rPr>
          <w:rFonts w:ascii="Times" w:hAnsi="Times" w:cs="Sabon"/>
          <w:i/>
          <w:iCs/>
        </w:rPr>
        <w:t xml:space="preserve">Gillichthys mirabilis </w:t>
      </w:r>
      <w:r w:rsidRPr="00326AC2">
        <w:rPr>
          <w:rFonts w:ascii="Times" w:hAnsi="Times" w:cs="Sabon"/>
        </w:rPr>
        <w:t>gill tissue exposed to osmotic and tem</w:t>
      </w:r>
      <w:r w:rsidRPr="00326AC2">
        <w:rPr>
          <w:rFonts w:ascii="Times" w:hAnsi="Times" w:cs="Sabon"/>
        </w:rPr>
        <w:softHyphen/>
        <w:t>perature stress using two-dimensional gel electrophoresis without sequencing proteins (Kültz and Somero, 1996). In another study, researchers used surface enhanced laser desorp</w:t>
      </w:r>
      <w:r w:rsidRPr="00326AC2">
        <w:rPr>
          <w:rFonts w:ascii="Times" w:hAnsi="Times" w:cs="Sabon"/>
        </w:rPr>
        <w:softHyphen/>
        <w:t>tion/ionization and identified 11 differentially expressed pro</w:t>
      </w:r>
      <w:r w:rsidRPr="00326AC2">
        <w:rPr>
          <w:rFonts w:ascii="Times" w:hAnsi="Times" w:cs="Sabon"/>
        </w:rPr>
        <w:softHyphen/>
        <w:t xml:space="preserve">teins in the gill tissue of </w:t>
      </w:r>
      <w:r w:rsidRPr="00326AC2">
        <w:rPr>
          <w:rFonts w:ascii="Times" w:hAnsi="Times" w:cs="Sabon"/>
          <w:i/>
          <w:iCs/>
        </w:rPr>
        <w:t xml:space="preserve">Oncorhynchus mykiss </w:t>
      </w:r>
      <w:r w:rsidRPr="00326AC2">
        <w:rPr>
          <w:rFonts w:ascii="Times" w:hAnsi="Times" w:cs="Sabon"/>
        </w:rPr>
        <w:t xml:space="preserve">exposed to zinc stress (Hogstrand </w:t>
      </w:r>
      <w:r w:rsidRPr="00326AC2">
        <w:rPr>
          <w:rFonts w:ascii="Times" w:hAnsi="Times" w:cs="Sabon"/>
          <w:i/>
          <w:iCs/>
        </w:rPr>
        <w:t>et al.</w:t>
      </w:r>
      <w:r w:rsidRPr="00326AC2">
        <w:rPr>
          <w:rFonts w:ascii="Times" w:hAnsi="Times" w:cs="Sabon"/>
        </w:rPr>
        <w:t>, 2002). Four proteins were identi</w:t>
      </w:r>
      <w:r w:rsidRPr="00326AC2">
        <w:rPr>
          <w:rFonts w:ascii="Times" w:hAnsi="Times" w:cs="Sabon"/>
        </w:rPr>
        <w:softHyphen/>
        <w:t>fied based on a combination of their physical properties (i.e. mass and binding) coupled with sequence similarity compari</w:t>
      </w:r>
      <w:r w:rsidRPr="00326AC2">
        <w:rPr>
          <w:rFonts w:ascii="Times" w:hAnsi="Times" w:cs="Sabon"/>
        </w:rPr>
        <w:softHyphen/>
        <w:t xml:space="preserve">sons with the limited number of teleost protein sequences in the SwissProt database (Hogstrand </w:t>
      </w:r>
      <w:r w:rsidRPr="00326AC2">
        <w:rPr>
          <w:rFonts w:ascii="Times" w:hAnsi="Times" w:cs="Sabon"/>
          <w:i/>
          <w:iCs/>
        </w:rPr>
        <w:t>et al.</w:t>
      </w:r>
      <w:r w:rsidRPr="00326AC2">
        <w:rPr>
          <w:rFonts w:ascii="Times" w:hAnsi="Times" w:cs="Sabon"/>
        </w:rPr>
        <w:t xml:space="preserve">, 2002). </w:t>
      </w:r>
    </w:p>
    <w:p w14:paraId="5A17A224" w14:textId="24DAE548"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The use of predicted protein sequences in closely related species can assist in annotation, but species-specific informa</w:t>
      </w:r>
      <w:r w:rsidRPr="00326AC2">
        <w:rPr>
          <w:rFonts w:ascii="Times" w:hAnsi="Times" w:cs="Sabon"/>
        </w:rPr>
        <w:softHyphen/>
        <w:t>tion will provide more accurate results. This is evident in a study on protein expression in pea (</w:t>
      </w:r>
      <w:r w:rsidRPr="00326AC2">
        <w:rPr>
          <w:rFonts w:ascii="Times" w:hAnsi="Times" w:cs="Sabon"/>
          <w:i/>
          <w:iCs/>
        </w:rPr>
        <w:t>Pisum sativum</w:t>
      </w:r>
      <w:r w:rsidRPr="00326AC2">
        <w:rPr>
          <w:rFonts w:ascii="Times" w:hAnsi="Times" w:cs="Sabon"/>
        </w:rPr>
        <w:t>) chloro</w:t>
      </w:r>
      <w:r w:rsidRPr="00326AC2">
        <w:rPr>
          <w:rFonts w:ascii="Times" w:hAnsi="Times" w:cs="Sabon"/>
        </w:rPr>
        <w:softHyphen/>
        <w:t xml:space="preserve">plasts, where concurrent complementary DNA sequencing facilitated the identification of a greater number of proteins compared with identification through homology searches with closely related model species (Bräutigam </w:t>
      </w:r>
      <w:r w:rsidRPr="00326AC2">
        <w:rPr>
          <w:rFonts w:ascii="Times" w:hAnsi="Times" w:cs="Sabon"/>
          <w:i/>
          <w:iCs/>
        </w:rPr>
        <w:t>et al.</w:t>
      </w:r>
      <w:r w:rsidRPr="00326AC2">
        <w:rPr>
          <w:rFonts w:ascii="Times" w:hAnsi="Times" w:cs="Sabon"/>
        </w:rPr>
        <w:t>, 2008). The reason that species-specific information provides such an advantage is due to how modern-day protein sequence iden</w:t>
      </w:r>
      <w:r w:rsidRPr="00326AC2">
        <w:rPr>
          <w:rFonts w:ascii="Times" w:hAnsi="Times" w:cs="Sabon"/>
        </w:rPr>
        <w:softHyphen/>
        <w:t>tification is executed. The vast majority of high-throughput mass spectrometry (MS) proteomics is accomplished by matching observed peptide fragmentation patterns (tandem mass spectra) to theoretical spectra. This is possible because peptides fragment in a predictable manner, allowing for theo</w:t>
      </w:r>
      <w:r w:rsidRPr="00326AC2">
        <w:rPr>
          <w:rFonts w:ascii="Times" w:hAnsi="Times" w:cs="Sabon"/>
        </w:rPr>
        <w:softHyphen/>
        <w:t xml:space="preserve">retical tandem mass spectra to be created </w:t>
      </w:r>
      <w:r w:rsidRPr="00326AC2">
        <w:rPr>
          <w:rFonts w:ascii="Times" w:hAnsi="Times" w:cs="Sabon"/>
          <w:i/>
          <w:iCs/>
        </w:rPr>
        <w:t xml:space="preserve">in silico </w:t>
      </w:r>
      <w:r w:rsidRPr="00326AC2">
        <w:rPr>
          <w:rFonts w:ascii="Times" w:hAnsi="Times" w:cs="Sabon"/>
        </w:rPr>
        <w:t>from a given protein sequence, stressing the importance of the data</w:t>
      </w:r>
      <w:r w:rsidRPr="00326AC2">
        <w:rPr>
          <w:rFonts w:ascii="Times" w:hAnsi="Times" w:cs="Sabon"/>
        </w:rPr>
        <w:softHyphen/>
        <w:t>base used. These correlation-based algorithms require the peptide mass (precursor mass) and peptide fragmentation (tandem mass spectrum). Even when employing databases of closely related species, a large number of viable tandem mass spectra of peptides might not be assigned accurately to a pro</w:t>
      </w:r>
      <w:r w:rsidRPr="00326AC2">
        <w:rPr>
          <w:rFonts w:ascii="Times" w:hAnsi="Times" w:cs="Sabon"/>
        </w:rPr>
        <w:softHyphen/>
        <w:t xml:space="preserve">tein, because a single amino acid mutation could significantly alter the peptide mass and resulting fragmentation pattern. </w:t>
      </w:r>
    </w:p>
    <w:p w14:paraId="1D16B946" w14:textId="26C16FAF"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rPr>
        <w:t>As technological advances have continued to increase the accessibility of whole transcriptomes and genomes to researchers, there is increasing interest in leveraging these data to carry out proteomic studies for both biological dis</w:t>
      </w:r>
      <w:r w:rsidRPr="00326AC2">
        <w:rPr>
          <w:rFonts w:ascii="Times" w:hAnsi="Times" w:cs="Sabon"/>
        </w:rPr>
        <w:softHyphen/>
        <w:t>covery and for better characterizing physiological responses to environmental change. Recently, the Pacific oyster (</w:t>
      </w:r>
      <w:r w:rsidRPr="00326AC2">
        <w:rPr>
          <w:rFonts w:ascii="Times" w:hAnsi="Times" w:cs="Sabon"/>
          <w:i/>
          <w:iCs/>
        </w:rPr>
        <w:t>Crassostrea gigas</w:t>
      </w:r>
      <w:r w:rsidRPr="00326AC2">
        <w:rPr>
          <w:rFonts w:ascii="Times" w:hAnsi="Times" w:cs="Sabon"/>
        </w:rPr>
        <w:t xml:space="preserve">) genome was sequenced (Zhang </w:t>
      </w:r>
      <w:r w:rsidRPr="00326AC2">
        <w:rPr>
          <w:rFonts w:ascii="Times" w:hAnsi="Times" w:cs="Sabon"/>
          <w:i/>
          <w:iCs/>
        </w:rPr>
        <w:t>et al.</w:t>
      </w:r>
      <w:r w:rsidRPr="00326AC2">
        <w:rPr>
          <w:rFonts w:ascii="Times" w:hAnsi="Times" w:cs="Sabon"/>
        </w:rPr>
        <w:t>, 2012). Given the availability of this resource, our objective was to quantify the level of information (and respective vari</w:t>
      </w:r>
      <w:r w:rsidRPr="00326AC2">
        <w:rPr>
          <w:rFonts w:ascii="Times" w:hAnsi="Times" w:cs="Sabon"/>
        </w:rPr>
        <w:softHyphen/>
        <w:t>ability) attainable in proteomic studi</w:t>
      </w:r>
      <w:r w:rsidR="00E57114">
        <w:rPr>
          <w:rFonts w:ascii="Times" w:hAnsi="Times" w:cs="Sabon"/>
        </w:rPr>
        <w:t>es in oysters. There have been</w:t>
      </w:r>
      <w:r w:rsidRPr="00326AC2">
        <w:rPr>
          <w:rFonts w:ascii="Times" w:hAnsi="Times" w:cs="Sabon"/>
        </w:rPr>
        <w:t xml:space="preserve"> several prior studies examining protein expression in oysters using liquid chromatography coupled with tandem mass spectrometry (LC-MS/MS) with samples separated by two-dimensional gel electrophoresis (2-DE) beforehand. In </w:t>
      </w:r>
      <w:r w:rsidRPr="00326AC2">
        <w:rPr>
          <w:rFonts w:ascii="Times" w:hAnsi="Times" w:cs="Sabon"/>
          <w:color w:val="000000"/>
        </w:rPr>
        <w:t>larval oysters, these proteomic techniques have identified spe</w:t>
      </w:r>
      <w:r w:rsidRPr="00326AC2">
        <w:rPr>
          <w:rFonts w:ascii="Times" w:hAnsi="Times" w:cs="Sabon"/>
          <w:color w:val="000000"/>
        </w:rPr>
        <w:softHyphen/>
        <w:t xml:space="preserve">cific proteins that are responsible for early developmental changes in </w:t>
      </w:r>
      <w:r w:rsidRPr="00326AC2">
        <w:rPr>
          <w:rFonts w:ascii="Times" w:hAnsi="Times" w:cs="Sabon"/>
          <w:i/>
          <w:iCs/>
          <w:color w:val="000000"/>
        </w:rPr>
        <w:t xml:space="preserve">C. gigas </w:t>
      </w:r>
      <w:r w:rsidRPr="00326AC2">
        <w:rPr>
          <w:rFonts w:ascii="Times" w:hAnsi="Times" w:cs="Sabon"/>
          <w:color w:val="000000"/>
        </w:rPr>
        <w:t xml:space="preserve">(Huan </w:t>
      </w:r>
      <w:r w:rsidRPr="00326AC2">
        <w:rPr>
          <w:rFonts w:ascii="Times" w:hAnsi="Times" w:cs="Sabon"/>
          <w:i/>
          <w:iCs/>
          <w:color w:val="000000"/>
        </w:rPr>
        <w:t>et al.</w:t>
      </w:r>
      <w:r w:rsidRPr="00326AC2">
        <w:rPr>
          <w:rFonts w:ascii="Times" w:hAnsi="Times" w:cs="Sabon"/>
          <w:color w:val="000000"/>
        </w:rPr>
        <w:t xml:space="preserve">, 2012) and the larval </w:t>
      </w:r>
      <w:r w:rsidRPr="00326AC2">
        <w:rPr>
          <w:rFonts w:ascii="Times" w:hAnsi="Times" w:cs="Sabon"/>
          <w:i/>
          <w:iCs/>
          <w:color w:val="000000"/>
        </w:rPr>
        <w:t xml:space="preserve">C. gigas </w:t>
      </w:r>
      <w:r w:rsidRPr="00326AC2">
        <w:rPr>
          <w:rFonts w:ascii="Times" w:hAnsi="Times" w:cs="Sabon"/>
          <w:color w:val="000000"/>
        </w:rPr>
        <w:t>response to elevated partial pressures of CO</w:t>
      </w:r>
      <w:r w:rsidRPr="00E57114">
        <w:rPr>
          <w:rStyle w:val="A9"/>
          <w:rFonts w:ascii="Times" w:hAnsi="Times"/>
          <w:sz w:val="24"/>
          <w:szCs w:val="24"/>
          <w:vertAlign w:val="subscript"/>
        </w:rPr>
        <w:t>2</w:t>
      </w:r>
      <w:r w:rsidRPr="00326AC2">
        <w:rPr>
          <w:rStyle w:val="A9"/>
          <w:rFonts w:ascii="Times" w:hAnsi="Times"/>
          <w:sz w:val="24"/>
          <w:szCs w:val="24"/>
        </w:rPr>
        <w:t xml:space="preserve"> </w:t>
      </w:r>
      <w:r w:rsidRPr="00326AC2">
        <w:rPr>
          <w:rFonts w:ascii="Times" w:hAnsi="Times" w:cs="Sabon"/>
          <w:color w:val="000000"/>
        </w:rPr>
        <w:t>(ocean acidifi</w:t>
      </w:r>
      <w:r w:rsidRPr="00326AC2">
        <w:rPr>
          <w:rFonts w:ascii="Times" w:hAnsi="Times" w:cs="Sabon"/>
          <w:color w:val="000000"/>
        </w:rPr>
        <w:softHyphen/>
        <w:t xml:space="preserve">cation; Dineshram </w:t>
      </w:r>
      <w:r w:rsidRPr="00326AC2">
        <w:rPr>
          <w:rFonts w:ascii="Times" w:hAnsi="Times" w:cs="Sabon"/>
          <w:i/>
          <w:iCs/>
          <w:color w:val="000000"/>
        </w:rPr>
        <w:t>et al.</w:t>
      </w:r>
      <w:r w:rsidRPr="00326AC2">
        <w:rPr>
          <w:rFonts w:ascii="Times" w:hAnsi="Times" w:cs="Sabon"/>
          <w:color w:val="000000"/>
        </w:rPr>
        <w:t>, 2012). These methods have also been used to identify and sequence proteins that are differen</w:t>
      </w:r>
      <w:r w:rsidRPr="00326AC2">
        <w:rPr>
          <w:rFonts w:ascii="Times" w:hAnsi="Times" w:cs="Sabon"/>
          <w:color w:val="000000"/>
        </w:rPr>
        <w:softHyphen/>
        <w:t>tially regulated in a range of physiological situations in adult oyster species. The discoveries include the following: the up-regulation of antioxidant proteins in response to ocean acidi</w:t>
      </w:r>
      <w:r w:rsidRPr="00326AC2">
        <w:rPr>
          <w:rFonts w:ascii="Times" w:hAnsi="Times" w:cs="Sabon"/>
          <w:color w:val="000000"/>
        </w:rPr>
        <w:softHyphen/>
        <w:t xml:space="preserve">fication (Tomanek </w:t>
      </w:r>
      <w:r w:rsidRPr="00326AC2">
        <w:rPr>
          <w:rFonts w:ascii="Times" w:hAnsi="Times" w:cs="Sabon"/>
          <w:i/>
          <w:iCs/>
          <w:color w:val="000000"/>
        </w:rPr>
        <w:t>et al.</w:t>
      </w:r>
      <w:r w:rsidRPr="00326AC2">
        <w:rPr>
          <w:rFonts w:ascii="Times" w:hAnsi="Times" w:cs="Sabon"/>
          <w:color w:val="000000"/>
        </w:rPr>
        <w:t xml:space="preserve">, 2011); expression profiles denoting high-quality oocytes (Corporeau </w:t>
      </w:r>
      <w:r w:rsidRPr="00326AC2">
        <w:rPr>
          <w:rFonts w:ascii="Times" w:hAnsi="Times" w:cs="Sabon"/>
          <w:i/>
          <w:iCs/>
          <w:color w:val="000000"/>
        </w:rPr>
        <w:t>et al.</w:t>
      </w:r>
      <w:r w:rsidRPr="00326AC2">
        <w:rPr>
          <w:rFonts w:ascii="Times" w:hAnsi="Times" w:cs="Sabon"/>
          <w:color w:val="000000"/>
        </w:rPr>
        <w:t>, 2012); differing pro</w:t>
      </w:r>
      <w:r w:rsidRPr="00326AC2">
        <w:rPr>
          <w:rFonts w:ascii="Times" w:hAnsi="Times" w:cs="Sabon"/>
          <w:color w:val="000000"/>
        </w:rPr>
        <w:softHyphen/>
        <w:t>teomic profiles between disease-resistant and disease-suscep</w:t>
      </w:r>
      <w:r w:rsidRPr="00326AC2">
        <w:rPr>
          <w:rFonts w:ascii="Times" w:hAnsi="Times" w:cs="Sabon"/>
          <w:color w:val="000000"/>
        </w:rPr>
        <w:softHyphen/>
        <w:t xml:space="preserve">tible oysters (Simonian </w:t>
      </w:r>
      <w:r w:rsidRPr="00326AC2">
        <w:rPr>
          <w:rFonts w:ascii="Times" w:hAnsi="Times" w:cs="Sabon"/>
          <w:i/>
          <w:iCs/>
          <w:color w:val="000000"/>
        </w:rPr>
        <w:t>et al.</w:t>
      </w:r>
      <w:r w:rsidRPr="00326AC2">
        <w:rPr>
          <w:rFonts w:ascii="Times" w:hAnsi="Times" w:cs="Sabon"/>
          <w:color w:val="000000"/>
        </w:rPr>
        <w:t xml:space="preserve">, 2009); and specific responses to metal exposure (Thompson </w:t>
      </w:r>
      <w:r w:rsidRPr="00326AC2">
        <w:rPr>
          <w:rFonts w:ascii="Times" w:hAnsi="Times" w:cs="Sabon"/>
          <w:i/>
          <w:iCs/>
          <w:color w:val="000000"/>
        </w:rPr>
        <w:t>et al.</w:t>
      </w:r>
      <w:r w:rsidRPr="00326AC2">
        <w:rPr>
          <w:rFonts w:ascii="Times" w:hAnsi="Times" w:cs="Sabon"/>
          <w:color w:val="000000"/>
        </w:rPr>
        <w:t xml:space="preserve">, 2011, 2012a, 2012b; Liu and Wang, 2012) and acid sulfate run-off (Amaral </w:t>
      </w:r>
      <w:r w:rsidRPr="00326AC2">
        <w:rPr>
          <w:rFonts w:ascii="Times" w:hAnsi="Times" w:cs="Sabon"/>
          <w:i/>
          <w:iCs/>
          <w:color w:val="000000"/>
        </w:rPr>
        <w:t>et al.</w:t>
      </w:r>
      <w:r w:rsidRPr="00326AC2">
        <w:rPr>
          <w:rFonts w:ascii="Times" w:hAnsi="Times" w:cs="Sabon"/>
          <w:color w:val="000000"/>
        </w:rPr>
        <w:t>, 2012). These seminal studies in marine invertebrate pro</w:t>
      </w:r>
      <w:r w:rsidRPr="00326AC2">
        <w:rPr>
          <w:rFonts w:ascii="Times" w:hAnsi="Times" w:cs="Sabon"/>
          <w:color w:val="000000"/>
        </w:rPr>
        <w:softHyphen/>
        <w:t>teomics demonstrate that analysis of global protein expres</w:t>
      </w:r>
      <w:r w:rsidRPr="00326AC2">
        <w:rPr>
          <w:rFonts w:ascii="Times" w:hAnsi="Times" w:cs="Sabon"/>
          <w:color w:val="000000"/>
        </w:rPr>
        <w:softHyphen/>
        <w:t xml:space="preserve">sion is a powerful tool to facilitate our understanding of the molecular physiological response to environmental stressors. </w:t>
      </w:r>
    </w:p>
    <w:p w14:paraId="0BCE6B9A" w14:textId="77777777"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An alternative to 2-DE approaches is to perform shotgun proteomics. Shotgun proteomics is the sequencing of a com</w:t>
      </w:r>
      <w:r w:rsidRPr="00326AC2">
        <w:rPr>
          <w:rFonts w:ascii="Times" w:hAnsi="Times" w:cs="Sabon"/>
          <w:color w:val="000000"/>
        </w:rPr>
        <w:softHyphen/>
        <w:t xml:space="preserve">plex mixture of peptides using LC-MS/MS without prior separation (i.e. 2-DE). One of the main advantages of using 2-DE methods is that information on the physical properties of the proteins (mass and isoelectric point) can be used in the protein identification, whereas these empirical data are lost in the strictly tandem MS approaches. However, tandem MS has significantly greater data efficiency than gel-based approaches. The use of shotgun proteomics allows for a greater number of proteins to be identified rapidly from a single sample, providing a more complete metabolic picture of cellular function and physiology. </w:t>
      </w:r>
      <w:proofErr w:type="gramStart"/>
      <w:r w:rsidRPr="00326AC2">
        <w:rPr>
          <w:rFonts w:ascii="Times" w:hAnsi="Times" w:cs="Sabon"/>
          <w:color w:val="000000"/>
        </w:rPr>
        <w:t xml:space="preserve">This method has been demonstrated by Muralidharan </w:t>
      </w:r>
      <w:r w:rsidRPr="00326AC2">
        <w:rPr>
          <w:rFonts w:ascii="Times" w:hAnsi="Times" w:cs="Sabon"/>
          <w:i/>
          <w:iCs/>
          <w:color w:val="000000"/>
        </w:rPr>
        <w:t xml:space="preserve">et al. </w:t>
      </w:r>
      <w:r w:rsidRPr="00326AC2">
        <w:rPr>
          <w:rFonts w:ascii="Times" w:hAnsi="Times" w:cs="Sabon"/>
          <w:color w:val="000000"/>
        </w:rPr>
        <w:t>(2012), who used shot</w:t>
      </w:r>
      <w:r w:rsidRPr="00326AC2">
        <w:rPr>
          <w:rFonts w:ascii="Times" w:hAnsi="Times" w:cs="Sabon"/>
          <w:color w:val="000000"/>
        </w:rPr>
        <w:softHyphen/>
        <w:t xml:space="preserve">gun proteomics to uncover </w:t>
      </w:r>
      <w:r w:rsidRPr="00326AC2">
        <w:rPr>
          <w:rFonts w:ascii="Times" w:hAnsi="Times" w:cs="Sabon"/>
          <w:i/>
          <w:iCs/>
          <w:color w:val="000000"/>
        </w:rPr>
        <w:t xml:space="preserve">Saccostrea glomerata </w:t>
      </w:r>
      <w:r w:rsidRPr="00326AC2">
        <w:rPr>
          <w:rFonts w:ascii="Times" w:hAnsi="Times" w:cs="Sabon"/>
          <w:color w:val="000000"/>
        </w:rPr>
        <w:t xml:space="preserve">haemocyte proteomic responses to metal contamination, and by Dheilly </w:t>
      </w:r>
      <w:r w:rsidRPr="00326AC2">
        <w:rPr>
          <w:rFonts w:ascii="Times" w:hAnsi="Times" w:cs="Sabon"/>
          <w:i/>
          <w:iCs/>
          <w:color w:val="000000"/>
        </w:rPr>
        <w:t xml:space="preserve">et al. </w:t>
      </w:r>
      <w:r w:rsidRPr="00326AC2">
        <w:rPr>
          <w:rFonts w:ascii="Times" w:hAnsi="Times" w:cs="Sabon"/>
          <w:color w:val="000000"/>
        </w:rPr>
        <w:t>(2012, 2013), who explored the proteomic response of coelomocytes to immune challenge in two urchin species</w:t>
      </w:r>
      <w:proofErr w:type="gramEnd"/>
      <w:r w:rsidRPr="00326AC2">
        <w:rPr>
          <w:rFonts w:ascii="Times" w:hAnsi="Times" w:cs="Sabon"/>
          <w:color w:val="000000"/>
        </w:rPr>
        <w:t xml:space="preserve">. </w:t>
      </w:r>
    </w:p>
    <w:p w14:paraId="2257E83E" w14:textId="0902BD21" w:rsidR="00326AC2" w:rsidRPr="00326AC2" w:rsidRDefault="00326AC2" w:rsidP="00426D9F">
      <w:pPr>
        <w:pStyle w:val="Default"/>
        <w:spacing w:line="360" w:lineRule="auto"/>
        <w:ind w:firstLine="720"/>
        <w:rPr>
          <w:rFonts w:ascii="Times" w:hAnsi="Times" w:cs="Sabon"/>
        </w:rPr>
      </w:pPr>
      <w:r w:rsidRPr="00326AC2">
        <w:rPr>
          <w:rFonts w:ascii="Times" w:hAnsi="Times" w:cs="Sabon"/>
        </w:rPr>
        <w:t xml:space="preserve">In this study, we used shotgun proteomics to sequence the gill proteome of the Pacific oyster, </w:t>
      </w:r>
      <w:r w:rsidRPr="00326AC2">
        <w:rPr>
          <w:rFonts w:ascii="Times" w:hAnsi="Times" w:cs="Sabon"/>
          <w:i/>
          <w:iCs/>
        </w:rPr>
        <w:t>Crassostrea gigas</w:t>
      </w:r>
      <w:r w:rsidRPr="00326AC2">
        <w:rPr>
          <w:rFonts w:ascii="Times" w:hAnsi="Times" w:cs="Sabon"/>
        </w:rPr>
        <w:t>. The gill is the interface between bivalves and their environment, necessi</w:t>
      </w:r>
      <w:r w:rsidRPr="00326AC2">
        <w:rPr>
          <w:rFonts w:ascii="Times" w:hAnsi="Times" w:cs="Sabon"/>
        </w:rPr>
        <w:softHyphen/>
        <w:t>tating that the tissue performs a variety of physiological func</w:t>
      </w:r>
      <w:r w:rsidRPr="00326AC2">
        <w:rPr>
          <w:rFonts w:ascii="Times" w:hAnsi="Times" w:cs="Sabon"/>
        </w:rPr>
        <w:softHyphen/>
        <w:t xml:space="preserve">tions in response to the environment (e.g. David </w:t>
      </w:r>
      <w:r w:rsidRPr="00326AC2">
        <w:rPr>
          <w:rFonts w:ascii="Times" w:hAnsi="Times" w:cs="Sabon"/>
          <w:i/>
          <w:iCs/>
        </w:rPr>
        <w:t>et al.</w:t>
      </w:r>
      <w:r w:rsidRPr="00326AC2">
        <w:rPr>
          <w:rFonts w:ascii="Times" w:hAnsi="Times" w:cs="Sabon"/>
        </w:rPr>
        <w:t xml:space="preserve">, 2007; Wang </w:t>
      </w:r>
      <w:r w:rsidRPr="00326AC2">
        <w:rPr>
          <w:rFonts w:ascii="Times" w:hAnsi="Times" w:cs="Sabon"/>
          <w:i/>
          <w:iCs/>
        </w:rPr>
        <w:t>et al.</w:t>
      </w:r>
      <w:r w:rsidRPr="00326AC2">
        <w:rPr>
          <w:rFonts w:ascii="Times" w:hAnsi="Times" w:cs="Sabon"/>
        </w:rPr>
        <w:t>, 2010). The identification of proteins that are expressed in gill tissue supports the development of tools that can help to guide future research on the molecular physiology of molluscs faced with stresses such as climate change and dis</w:t>
      </w:r>
      <w:r w:rsidRPr="00326AC2">
        <w:rPr>
          <w:rFonts w:ascii="Times" w:hAnsi="Times" w:cs="Sabon"/>
        </w:rPr>
        <w:softHyphen/>
        <w:t>ease. The goal of this study was to determine the effectiveness of using a shotgun proteomics approach and to carry out func</w:t>
      </w:r>
      <w:r w:rsidRPr="00326AC2">
        <w:rPr>
          <w:rFonts w:ascii="Times" w:hAnsi="Times" w:cs="Sabon"/>
        </w:rPr>
        <w:softHyphen/>
        <w:t>tional characterization of proteins expressed in gill tissue.</w:t>
      </w:r>
    </w:p>
    <w:p w14:paraId="2DC984F3" w14:textId="77777777" w:rsidR="00C02D9B" w:rsidRDefault="00C02D9B" w:rsidP="00C02D9B">
      <w:pPr>
        <w:pStyle w:val="Heading2"/>
      </w:pPr>
      <w:bookmarkStart w:id="32" w:name="_Toc252109996"/>
      <w:r>
        <w:t>Methods</w:t>
      </w:r>
      <w:bookmarkEnd w:id="32"/>
    </w:p>
    <w:p w14:paraId="491E47B8" w14:textId="3795C926" w:rsidR="00326AC2" w:rsidRDefault="00326AC2" w:rsidP="00326AC2">
      <w:pPr>
        <w:pStyle w:val="Heading3"/>
      </w:pPr>
      <w:bookmarkStart w:id="33" w:name="_Toc252109997"/>
      <w:r>
        <w:t>Oysters</w:t>
      </w:r>
      <w:bookmarkEnd w:id="33"/>
    </w:p>
    <w:p w14:paraId="448E0B0D" w14:textId="77777777" w:rsidR="0013210F" w:rsidRPr="0013210F" w:rsidRDefault="0013210F" w:rsidP="0013210F"/>
    <w:p w14:paraId="0686FBAB" w14:textId="1B044373" w:rsidR="00326AC2" w:rsidRPr="00326AC2" w:rsidRDefault="00326AC2" w:rsidP="00426D9F">
      <w:pPr>
        <w:spacing w:line="360" w:lineRule="auto"/>
        <w:ind w:firstLine="720"/>
        <w:rPr>
          <w:rFonts w:ascii="Times" w:hAnsi="Times"/>
        </w:rPr>
      </w:pPr>
      <w:r w:rsidRPr="00326AC2">
        <w:rPr>
          <w:rFonts w:ascii="Times" w:hAnsi="Times" w:cs="Sabon"/>
          <w:color w:val="000000"/>
        </w:rPr>
        <w:t>Pacific oysters (</w:t>
      </w:r>
      <w:r w:rsidRPr="00326AC2">
        <w:rPr>
          <w:rFonts w:ascii="Times" w:hAnsi="Times" w:cs="Sabon"/>
          <w:i/>
          <w:iCs/>
          <w:color w:val="000000"/>
        </w:rPr>
        <w:t>C. gigas</w:t>
      </w:r>
      <w:r w:rsidRPr="00326AC2">
        <w:rPr>
          <w:rFonts w:ascii="Times" w:hAnsi="Times" w:cs="Sabon"/>
          <w:color w:val="000000"/>
        </w:rPr>
        <w:t>,</w:t>
      </w:r>
      <w:r w:rsidR="00E57114">
        <w:rPr>
          <w:rFonts w:ascii="Times" w:hAnsi="Times" w:cs="Sabon"/>
          <w:color w:val="000000"/>
        </w:rPr>
        <w:t xml:space="preserve"> 11</w:t>
      </w:r>
      <w:r w:rsidRPr="00326AC2">
        <w:rPr>
          <w:rFonts w:ascii="Times" w:hAnsi="Times" w:cs="Sabon"/>
          <w:color w:val="000000"/>
        </w:rPr>
        <w:t xml:space="preserve"> months old) were collected in Shelton, WA, USA. Oysters were transferred to Friday Harbor Laboratories (Friday Harbor, WA, USA) into a flow-through syste</w:t>
      </w:r>
      <w:r w:rsidR="00E57114">
        <w:rPr>
          <w:rFonts w:ascii="Times" w:hAnsi="Times" w:cs="Sabon"/>
          <w:color w:val="000000"/>
        </w:rPr>
        <w:t>m at 13°C for 6 weeks. Eight 4 L</w:t>
      </w:r>
      <w:r w:rsidRPr="00326AC2">
        <w:rPr>
          <w:rFonts w:ascii="Times" w:hAnsi="Times" w:cs="Sabon"/>
          <w:color w:val="000000"/>
        </w:rPr>
        <w:t xml:space="preserve"> vessels contain</w:t>
      </w:r>
      <w:r w:rsidRPr="00326AC2">
        <w:rPr>
          <w:rFonts w:ascii="Times" w:hAnsi="Times" w:cs="Sabon"/>
          <w:color w:val="000000"/>
        </w:rPr>
        <w:softHyphen/>
        <w:t>ing six oysters each were kept in a water bath with seawate</w:t>
      </w:r>
      <w:r w:rsidR="00E57114">
        <w:rPr>
          <w:rFonts w:ascii="Times" w:hAnsi="Times" w:cs="Sabon"/>
          <w:color w:val="000000"/>
        </w:rPr>
        <w:t>r flowing through at 57.5 ml min</w:t>
      </w:r>
      <w:r w:rsidR="00E57114" w:rsidRPr="00E57114">
        <w:rPr>
          <w:rFonts w:ascii="Times" w:hAnsi="Times" w:cs="Sabon"/>
          <w:color w:val="000000"/>
          <w:vertAlign w:val="superscript"/>
        </w:rPr>
        <w:t>-1</w:t>
      </w:r>
      <w:r w:rsidRPr="00326AC2">
        <w:rPr>
          <w:rFonts w:ascii="Times" w:hAnsi="Times" w:cs="Sabon"/>
          <w:color w:val="000000"/>
        </w:rPr>
        <w:t>. Vessels were cleaned every other day with fresh-water and salt-water rinses. Oysters were fed Shellfish Diet 1800 (Reed Mariculture, Campbell, CA, USA). At the end of six weeks, gill tissue was removed from four oysters and immediately flash frozen in liquid nitrogen for proteomic analysis.</w:t>
      </w:r>
    </w:p>
    <w:p w14:paraId="29B2488B" w14:textId="617887A4" w:rsidR="00326AC2" w:rsidRDefault="00326AC2" w:rsidP="00326AC2">
      <w:pPr>
        <w:pStyle w:val="Heading3"/>
      </w:pPr>
      <w:bookmarkStart w:id="34" w:name="_Toc252109998"/>
      <w:r>
        <w:t>Protein digestion and desalting</w:t>
      </w:r>
      <w:bookmarkEnd w:id="34"/>
    </w:p>
    <w:p w14:paraId="184AC977" w14:textId="77777777" w:rsidR="0013210F" w:rsidRPr="0013210F" w:rsidRDefault="0013210F" w:rsidP="0013210F"/>
    <w:p w14:paraId="6431411A" w14:textId="77777777" w:rsidR="00326AC2" w:rsidRPr="00326AC2" w:rsidRDefault="00326AC2" w:rsidP="00426D9F">
      <w:pPr>
        <w:pStyle w:val="Pa13"/>
        <w:spacing w:before="60" w:after="60" w:line="360" w:lineRule="auto"/>
        <w:ind w:firstLine="720"/>
        <w:jc w:val="both"/>
        <w:rPr>
          <w:rFonts w:ascii="Times" w:hAnsi="Times" w:cs="Sabon"/>
          <w:color w:val="000000"/>
        </w:rPr>
      </w:pPr>
      <w:r w:rsidRPr="00326AC2">
        <w:rPr>
          <w:rFonts w:ascii="Times" w:hAnsi="Times" w:cs="Sabon"/>
          <w:color w:val="000000"/>
        </w:rPr>
        <w:t>Gill tissue samples (50–100 mg) were homogenized in 50 mM NH</w:t>
      </w:r>
      <w:r w:rsidRPr="00E57114">
        <w:rPr>
          <w:rStyle w:val="A9"/>
          <w:rFonts w:ascii="Times" w:hAnsi="Times"/>
          <w:sz w:val="24"/>
          <w:szCs w:val="24"/>
          <w:vertAlign w:val="subscript"/>
        </w:rPr>
        <w:t>4</w:t>
      </w:r>
      <w:r w:rsidRPr="00326AC2">
        <w:rPr>
          <w:rFonts w:ascii="Times" w:hAnsi="Times" w:cs="Sabon"/>
          <w:color w:val="000000"/>
        </w:rPr>
        <w:t>HCO</w:t>
      </w:r>
      <w:r w:rsidRPr="00E57114">
        <w:rPr>
          <w:rStyle w:val="A9"/>
          <w:rFonts w:ascii="Times" w:hAnsi="Times"/>
          <w:sz w:val="24"/>
          <w:szCs w:val="24"/>
          <w:vertAlign w:val="subscript"/>
        </w:rPr>
        <w:t>3</w:t>
      </w:r>
      <w:r w:rsidRPr="00326AC2">
        <w:rPr>
          <w:rStyle w:val="A9"/>
          <w:rFonts w:ascii="Times" w:hAnsi="Times"/>
          <w:sz w:val="24"/>
          <w:szCs w:val="24"/>
        </w:rPr>
        <w:t xml:space="preserve"> </w:t>
      </w:r>
      <w:r w:rsidRPr="00326AC2">
        <w:rPr>
          <w:rFonts w:ascii="Times" w:hAnsi="Times" w:cs="Sabon"/>
          <w:color w:val="000000"/>
        </w:rPr>
        <w:t>(100 μl) using RNAse-free plastic pestles. Each homogenized gill sample was sonicated four times with a probe sonicator and stored on dry ice between sonications. After sonication, protein concentrations were measured using the Bradford assay, following the manufacturer’s protocol (Pierce, Thermo Fisher Scientific, Rockford, IL, USA). Urea (36 mg) was added to each sample (for a total concentration of 6 M) to denature and solubilize peptides. Next, 1.5 M Tris (pH 8.8; 6.6 μl) was added, followed by 200 mM (</w:t>
      </w:r>
      <w:proofErr w:type="gramStart"/>
      <w:r w:rsidRPr="00326AC2">
        <w:rPr>
          <w:rFonts w:ascii="Times" w:hAnsi="Times" w:cs="Sabon"/>
          <w:i/>
          <w:iCs/>
          <w:color w:val="000000"/>
        </w:rPr>
        <w:t>tris</w:t>
      </w:r>
      <w:r w:rsidRPr="00326AC2">
        <w:rPr>
          <w:rFonts w:ascii="Times" w:hAnsi="Times" w:cs="Sabon"/>
          <w:color w:val="000000"/>
        </w:rPr>
        <w:t>(</w:t>
      </w:r>
      <w:proofErr w:type="gramEnd"/>
      <w:r w:rsidRPr="00326AC2">
        <w:rPr>
          <w:rFonts w:ascii="Times" w:hAnsi="Times" w:cs="Sabon"/>
          <w:color w:val="000000"/>
        </w:rPr>
        <w:t>2-car</w:t>
      </w:r>
      <w:r w:rsidRPr="00326AC2">
        <w:rPr>
          <w:rFonts w:ascii="Times" w:hAnsi="Times" w:cs="Sabon"/>
          <w:color w:val="000000"/>
        </w:rPr>
        <w:softHyphen/>
        <w:t>boxyethyl)phosphine) (2.5 μl). Samples were incubated for 1 h at 37°C on a shaker. To alkylate the proteins, 200 mM iodoacetamide (20 μl) was added. Samples were then vor</w:t>
      </w:r>
      <w:r w:rsidRPr="00326AC2">
        <w:rPr>
          <w:rFonts w:ascii="Times" w:hAnsi="Times" w:cs="Sabon"/>
          <w:color w:val="000000"/>
        </w:rPr>
        <w:softHyphen/>
        <w:t>texed, and incubated for 1 h at room temperature in the dark. To absorb excess iodoacetamide, 200 mM dithiolthreitol (20 μl) was added, followed by vortexing and incubation at room temperature for 1 h. A volume equal to approximately 100 μg was removed, and the remainder was discarded. Ammonium bicarbonate (200 μl of 25 mM) was added to dilute the urea, and then high-pressure liquid chromagogra</w:t>
      </w:r>
      <w:r w:rsidRPr="00326AC2">
        <w:rPr>
          <w:rFonts w:ascii="Times" w:hAnsi="Times" w:cs="Sabon"/>
          <w:color w:val="000000"/>
        </w:rPr>
        <w:softHyphen/>
        <w:t>phy (HPLC) grade MeOH (50 μl) was added to each tube. Trypsin was solubilized in a trypsin dilution buffer (20 μl) to a concentration of 1 μg/μl (Promega, Madison, WI, USA), and 3 μl of this solution was added to each sample to digest the proteins enzymatically. The samples were incubated over</w:t>
      </w:r>
      <w:r w:rsidRPr="00326AC2">
        <w:rPr>
          <w:rFonts w:ascii="Times" w:hAnsi="Times" w:cs="Sabon"/>
          <w:color w:val="000000"/>
        </w:rPr>
        <w:softHyphen/>
        <w:t>night at 37°C. The next day, dilute formic acid was added, and the samples were evaporated on the speed vac to near dryness. Samples were reconstituted in 200 μl of 5% acetoni</w:t>
      </w:r>
      <w:r w:rsidRPr="00326AC2">
        <w:rPr>
          <w:rFonts w:ascii="Times" w:hAnsi="Times" w:cs="Sabon"/>
          <w:color w:val="000000"/>
        </w:rPr>
        <w:softHyphen/>
        <w:t xml:space="preserve">trile and 0.1% trifluoroacetic acid. </w:t>
      </w:r>
    </w:p>
    <w:p w14:paraId="2275564C" w14:textId="509B7D1A" w:rsidR="00326AC2" w:rsidRPr="00326AC2" w:rsidRDefault="00326AC2" w:rsidP="00426D9F">
      <w:pPr>
        <w:spacing w:line="360" w:lineRule="auto"/>
        <w:ind w:firstLine="720"/>
        <w:rPr>
          <w:rFonts w:ascii="Times" w:hAnsi="Times"/>
        </w:rPr>
      </w:pPr>
      <w:r w:rsidRPr="00326AC2">
        <w:rPr>
          <w:rFonts w:ascii="Times" w:hAnsi="Times" w:cs="Sabon"/>
          <w:color w:val="000000"/>
        </w:rPr>
        <w:t>Samples were desalted by passage through a pre-prepared MacroSpin column, following the manufacturer’s specifica</w:t>
      </w:r>
      <w:r w:rsidRPr="00326AC2">
        <w:rPr>
          <w:rFonts w:ascii="Times" w:hAnsi="Times" w:cs="Sabon"/>
          <w:color w:val="000000"/>
        </w:rPr>
        <w:softHyphen/>
        <w:t>tions (The Nest Group, Southborough, MA, USA). After desalting, the remaining solvent was evaporated using a speed vac.</w:t>
      </w:r>
    </w:p>
    <w:p w14:paraId="085289AE" w14:textId="4210D3F7" w:rsidR="00326AC2" w:rsidRDefault="00326AC2" w:rsidP="00326AC2">
      <w:pPr>
        <w:pStyle w:val="Heading3"/>
      </w:pPr>
      <w:bookmarkStart w:id="35" w:name="_Toc252109999"/>
      <w:r>
        <w:t>Liquid chromatography and tandem mass spectrometry</w:t>
      </w:r>
      <w:bookmarkEnd w:id="35"/>
    </w:p>
    <w:p w14:paraId="081FA89C" w14:textId="77777777" w:rsidR="0013210F" w:rsidRPr="0013210F" w:rsidRDefault="0013210F" w:rsidP="0013210F"/>
    <w:p w14:paraId="46E2134D" w14:textId="1C2E982E" w:rsidR="00326AC2" w:rsidRPr="00326AC2" w:rsidRDefault="00326AC2" w:rsidP="00426D9F">
      <w:pPr>
        <w:spacing w:line="360" w:lineRule="auto"/>
        <w:ind w:firstLine="720"/>
        <w:rPr>
          <w:rFonts w:ascii="Times" w:hAnsi="Times"/>
        </w:rPr>
      </w:pPr>
      <w:r w:rsidRPr="00326AC2">
        <w:rPr>
          <w:rFonts w:ascii="Times" w:hAnsi="Times" w:cs="Sabon"/>
          <w:color w:val="000000"/>
        </w:rPr>
        <w:t>Mass spectrometry was performed at the University of Washington Proteomics Resource (Seattle, WA, USA). Samples were resuspended in 2% acetonitrile and 0.1% for</w:t>
      </w:r>
      <w:r w:rsidRPr="00326AC2">
        <w:rPr>
          <w:rFonts w:ascii="Times" w:hAnsi="Times" w:cs="Sabon"/>
          <w:color w:val="000000"/>
        </w:rPr>
        <w:softHyphen/>
        <w:t>mic acid in water (100 μl). Samples were then vortexed to mix and spun down at 21130 × g for 10 min. The superna</w:t>
      </w:r>
      <w:r w:rsidRPr="00326AC2">
        <w:rPr>
          <w:rFonts w:ascii="Times" w:hAnsi="Times" w:cs="Sabon"/>
          <w:color w:val="000000"/>
        </w:rPr>
        <w:softHyphen/>
        <w:t>tant was aliquoted to autosampler vials. Nano LC separation was performed with a nanoACUITY system (Waters, Milford, MA, USA) interfaced to an LTQ Orbitrap XL mass spectrom</w:t>
      </w:r>
      <w:r w:rsidRPr="00326AC2">
        <w:rPr>
          <w:rFonts w:ascii="Times" w:hAnsi="Times" w:cs="Sabon"/>
          <w:color w:val="000000"/>
        </w:rPr>
        <w:softHyphen/>
        <w:t>eter (Thermo Scientific, San Jose, CA, USA). Peptides were trapped on a 100 μm i.d. × 20 mm long pre-column packed with 200 Å (5 μm) Magic C18 particles (C18AQ; Michrom, Auburn, CA, USA). For separation, a 75 μm i.d. × 250 mm long analytical column with a laser pulled emitter tip packed with 100 Å (5 μm) Magic C18 particles (C18Q; Michrom) was used and analysed in positive ion mode. For each LC-MS/ MS analysis, an estimated amount of 0.5 μg of peptides was loaded</w:t>
      </w:r>
      <w:r w:rsidR="00E57114">
        <w:rPr>
          <w:rFonts w:ascii="Times" w:hAnsi="Times" w:cs="Sabon"/>
          <w:color w:val="000000"/>
        </w:rPr>
        <w:t xml:space="preserve"> onto the pre-column at </w:t>
      </w:r>
      <w:proofErr w:type="gramStart"/>
      <w:r w:rsidR="00E57114">
        <w:rPr>
          <w:rFonts w:ascii="Times" w:hAnsi="Times" w:cs="Sabon"/>
          <w:color w:val="000000"/>
        </w:rPr>
        <w:t>2 μl</w:t>
      </w:r>
      <w:proofErr w:type="gramEnd"/>
      <w:r w:rsidR="00E57114">
        <w:rPr>
          <w:rFonts w:ascii="Times" w:hAnsi="Times" w:cs="Sabon"/>
          <w:color w:val="000000"/>
        </w:rPr>
        <w:t xml:space="preserve"> min</w:t>
      </w:r>
      <w:r w:rsidR="00E57114" w:rsidRPr="00E57114">
        <w:rPr>
          <w:rFonts w:ascii="Times" w:hAnsi="Times" w:cs="Sabon"/>
          <w:color w:val="000000"/>
          <w:vertAlign w:val="superscript"/>
        </w:rPr>
        <w:t>-1</w:t>
      </w:r>
      <w:r w:rsidRPr="00326AC2">
        <w:rPr>
          <w:rFonts w:ascii="Times" w:hAnsi="Times" w:cs="Sabon"/>
          <w:color w:val="000000"/>
        </w:rPr>
        <w:t xml:space="preserve"> in water/acetonitrile (98%/2%), with 0.1% (v/v) formic acid. Peptides were eluted using an acetonitrile gradient flowing at </w:t>
      </w:r>
      <w:r w:rsidR="00E57114">
        <w:rPr>
          <w:rFonts w:ascii="Times" w:hAnsi="Times" w:cs="Sabon"/>
          <w:color w:val="000000"/>
        </w:rPr>
        <w:t xml:space="preserve">240 </w:t>
      </w:r>
      <w:proofErr w:type="gramStart"/>
      <w:r w:rsidR="00E57114">
        <w:rPr>
          <w:rFonts w:ascii="Times" w:hAnsi="Times" w:cs="Sabon"/>
          <w:color w:val="000000"/>
        </w:rPr>
        <w:t>nl</w:t>
      </w:r>
      <w:proofErr w:type="gramEnd"/>
      <w:r w:rsidR="00E57114">
        <w:rPr>
          <w:rFonts w:ascii="Times" w:hAnsi="Times" w:cs="Sabon"/>
          <w:color w:val="000000"/>
        </w:rPr>
        <w:t xml:space="preserve"> </w:t>
      </w:r>
      <w:r w:rsidRPr="00326AC2">
        <w:rPr>
          <w:rFonts w:ascii="Times" w:hAnsi="Times" w:cs="Sabon"/>
          <w:color w:val="000000"/>
        </w:rPr>
        <w:t>min</w:t>
      </w:r>
      <w:r w:rsidR="00E57114" w:rsidRPr="00E57114">
        <w:rPr>
          <w:rFonts w:ascii="Times" w:hAnsi="Times" w:cs="Sabon"/>
          <w:color w:val="000000"/>
          <w:vertAlign w:val="superscript"/>
        </w:rPr>
        <w:t>-1</w:t>
      </w:r>
      <w:r w:rsidRPr="00326AC2">
        <w:rPr>
          <w:rFonts w:ascii="Times" w:hAnsi="Times" w:cs="Sabon"/>
          <w:color w:val="000000"/>
        </w:rPr>
        <w:t>, using a mobile phase consisting of the following components: Solvent C (water, 0.1% formic acid) and Solvent D (acetoni</w:t>
      </w:r>
      <w:r w:rsidRPr="00326AC2">
        <w:rPr>
          <w:rFonts w:ascii="Times" w:hAnsi="Times" w:cs="Sabon"/>
          <w:color w:val="000000"/>
        </w:rPr>
        <w:softHyphen/>
        <w:t>trile, 0.1% formic acid). The gradient programme was as fol</w:t>
      </w:r>
      <w:r w:rsidRPr="00326AC2">
        <w:rPr>
          <w:rFonts w:ascii="Times" w:hAnsi="Times" w:cs="Sabon"/>
          <w:color w:val="000000"/>
        </w:rPr>
        <w:softHyphen/>
        <w:t>lows: 0–1 min, Solvent C (98%) and Solvent D (2%); 1 min, Solvent C (90%) and Solvent D (10%); 90 min, Solvent C (65%) and Solvent D (35%); 91–101 min, Solvent C (20%) and Solvent D (80%); and 102–120 min, Solvent C (98%) and Solvent D (2%). Peptide spectra were acquired by scans in the Orbitrap followed by the ion trap.</w:t>
      </w:r>
    </w:p>
    <w:p w14:paraId="67F87797" w14:textId="1C04BB76" w:rsidR="00326AC2" w:rsidRDefault="00326AC2" w:rsidP="00326AC2">
      <w:pPr>
        <w:pStyle w:val="Heading3"/>
      </w:pPr>
      <w:bookmarkStart w:id="36" w:name="_Toc252110000"/>
      <w:r>
        <w:t>Data acquisition</w:t>
      </w:r>
      <w:bookmarkEnd w:id="36"/>
    </w:p>
    <w:p w14:paraId="41941BFF" w14:textId="77777777" w:rsidR="0013210F" w:rsidRPr="0013210F" w:rsidRDefault="0013210F" w:rsidP="0013210F"/>
    <w:p w14:paraId="1955D4C4" w14:textId="0CD03494"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High-resolution full precursor ion scans were acquired at 60 000 resolution in the Orbitrap over 400–2000 </w:t>
      </w:r>
      <w:r w:rsidRPr="00326AC2">
        <w:rPr>
          <w:rFonts w:ascii="Times" w:hAnsi="Times" w:cs="Sabon"/>
          <w:i/>
          <w:iCs/>
          <w:color w:val="000000"/>
        </w:rPr>
        <w:t>m</w:t>
      </w:r>
      <w:r w:rsidRPr="00326AC2">
        <w:rPr>
          <w:rFonts w:ascii="Times" w:hAnsi="Times" w:cs="Sabon"/>
          <w:color w:val="000000"/>
        </w:rPr>
        <w:t>/</w:t>
      </w:r>
      <w:r w:rsidRPr="00326AC2">
        <w:rPr>
          <w:rFonts w:ascii="Times" w:hAnsi="Times" w:cs="Sabon"/>
          <w:i/>
          <w:iCs/>
          <w:color w:val="000000"/>
        </w:rPr>
        <w:t xml:space="preserve">z </w:t>
      </w:r>
      <w:r w:rsidRPr="00326AC2">
        <w:rPr>
          <w:rFonts w:ascii="Times" w:hAnsi="Times" w:cs="Sabon"/>
          <w:color w:val="000000"/>
        </w:rPr>
        <w:t>while six consecutive tandem mass spectra were acquired by colli</w:t>
      </w:r>
      <w:r w:rsidRPr="00326AC2">
        <w:rPr>
          <w:rFonts w:ascii="Times" w:hAnsi="Times" w:cs="Sabon"/>
          <w:color w:val="000000"/>
        </w:rPr>
        <w:softHyphen/>
        <w:t>sion-induced dissociation in the linear ion trap (LTQ). The data-dependent ion threshold was set at 5000 counts for MS/ MS, and the maximum allowed ion accumulation times were 400 ms for full scans and 100 ms for MS/MS measurements. The number of ions accumulated was set to 1E6 for Orbitrap scans and 1E4 for linear ion trap MS/MS scans. An angioten</w:t>
      </w:r>
      <w:r w:rsidRPr="00326AC2">
        <w:rPr>
          <w:rFonts w:ascii="Times" w:hAnsi="Times" w:cs="Sabon"/>
          <w:color w:val="000000"/>
        </w:rPr>
        <w:softHyphen/>
        <w:t>sin and neurotensin standard was run after every eight injec</w:t>
      </w:r>
      <w:r w:rsidRPr="00326AC2">
        <w:rPr>
          <w:rFonts w:ascii="Times" w:hAnsi="Times" w:cs="Sabon"/>
          <w:color w:val="000000"/>
        </w:rPr>
        <w:softHyphen/>
        <w:t>tions. Each sample was injected in triplicate in a novel randomized order.</w:t>
      </w:r>
    </w:p>
    <w:p w14:paraId="1AA08B17" w14:textId="7C9869FE" w:rsidR="00326AC2" w:rsidRDefault="00326AC2" w:rsidP="00326AC2">
      <w:pPr>
        <w:pStyle w:val="Heading3"/>
      </w:pPr>
      <w:bookmarkStart w:id="37" w:name="_Toc252110001"/>
      <w:r>
        <w:t>Protein identification and data analysis</w:t>
      </w:r>
      <w:bookmarkEnd w:id="37"/>
    </w:p>
    <w:p w14:paraId="6A02EFBC" w14:textId="77777777" w:rsidR="0013210F" w:rsidRPr="0013210F" w:rsidRDefault="0013210F" w:rsidP="0013210F"/>
    <w:p w14:paraId="3785DBDE" w14:textId="25509DE8"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Peptide sequence and corresponding protein identification for all mass spectra was carried out using SEQUEST (Eng </w:t>
      </w:r>
      <w:r w:rsidRPr="00326AC2">
        <w:rPr>
          <w:rFonts w:ascii="Times" w:hAnsi="Times" w:cs="Sabon"/>
          <w:i/>
          <w:iCs/>
          <w:color w:val="000000"/>
        </w:rPr>
        <w:t>et al.</w:t>
      </w:r>
      <w:r w:rsidRPr="00326AC2">
        <w:rPr>
          <w:rFonts w:ascii="Times" w:hAnsi="Times" w:cs="Sabon"/>
          <w:color w:val="000000"/>
        </w:rPr>
        <w:t xml:space="preserve">, 1994) and the </w:t>
      </w:r>
      <w:r w:rsidRPr="00326AC2">
        <w:rPr>
          <w:rFonts w:ascii="Times" w:hAnsi="Times" w:cs="Sabon"/>
          <w:i/>
          <w:iCs/>
          <w:color w:val="000000"/>
        </w:rPr>
        <w:t xml:space="preserve">C. gigas </w:t>
      </w:r>
      <w:r w:rsidRPr="00326AC2">
        <w:rPr>
          <w:rFonts w:ascii="Times" w:hAnsi="Times" w:cs="Sabon"/>
          <w:color w:val="000000"/>
        </w:rPr>
        <w:t xml:space="preserve">proteome version 9 (Zhang </w:t>
      </w:r>
      <w:r w:rsidRPr="00326AC2">
        <w:rPr>
          <w:rFonts w:ascii="Times" w:hAnsi="Times" w:cs="Sabon"/>
          <w:i/>
          <w:iCs/>
          <w:color w:val="000000"/>
        </w:rPr>
        <w:t>et al.</w:t>
      </w:r>
      <w:r w:rsidRPr="00326AC2">
        <w:rPr>
          <w:rFonts w:ascii="Times" w:hAnsi="Times" w:cs="Sabon"/>
          <w:color w:val="000000"/>
        </w:rPr>
        <w:t xml:space="preserve">, 2012, http://dx.doi.org/10.5524/100030). </w:t>
      </w:r>
      <w:proofErr w:type="gramStart"/>
      <w:r w:rsidRPr="00326AC2">
        <w:rPr>
          <w:rFonts w:ascii="Times" w:hAnsi="Times" w:cs="Sabon"/>
          <w:color w:val="000000"/>
        </w:rPr>
        <w:t xml:space="preserve">A DECOY database was created by reversing the </w:t>
      </w:r>
      <w:r w:rsidRPr="00326AC2">
        <w:rPr>
          <w:rFonts w:ascii="Times" w:hAnsi="Times" w:cs="Sabon"/>
          <w:i/>
          <w:iCs/>
          <w:color w:val="000000"/>
        </w:rPr>
        <w:t xml:space="preserve">C. gigas </w:t>
      </w:r>
      <w:r w:rsidRPr="00326AC2">
        <w:rPr>
          <w:rFonts w:ascii="Times" w:hAnsi="Times" w:cs="Sabon"/>
          <w:color w:val="000000"/>
        </w:rPr>
        <w:t>proteome and adding it to the forward</w:t>
      </w:r>
      <w:proofErr w:type="gramEnd"/>
      <w:r w:rsidRPr="00326AC2">
        <w:rPr>
          <w:rFonts w:ascii="Times" w:hAnsi="Times" w:cs="Sabon"/>
          <w:color w:val="000000"/>
        </w:rPr>
        <w:t xml:space="preserve"> database. This was completed in order to determine false positive matches of peptide spectra matching, and yielded a false discovery rate of ~0.6%. Search parameters included trypsin as the assigned enzyme and a precursor mass accuracy of ±3 Da. SEQUEST results were analysed using PeptideProphet and ProteinProphet in order to evaluate peptide matches statistically and assign protein probabilities (Nesvizhskii </w:t>
      </w:r>
      <w:r w:rsidRPr="00326AC2">
        <w:rPr>
          <w:rFonts w:ascii="Times" w:hAnsi="Times" w:cs="Sabon"/>
          <w:i/>
          <w:iCs/>
          <w:color w:val="000000"/>
        </w:rPr>
        <w:t>et al.</w:t>
      </w:r>
      <w:r w:rsidRPr="00326AC2">
        <w:rPr>
          <w:rFonts w:ascii="Times" w:hAnsi="Times" w:cs="Sabon"/>
          <w:color w:val="000000"/>
        </w:rPr>
        <w:t>, 2003). Only pro</w:t>
      </w:r>
      <w:r w:rsidRPr="00326AC2">
        <w:rPr>
          <w:rFonts w:ascii="Times" w:hAnsi="Times" w:cs="Sabon"/>
          <w:color w:val="000000"/>
        </w:rPr>
        <w:softHyphen/>
        <w:t>teins with a probability of ≥0.9 (estimated false discovery rate of 0.6%), a minimum of two unique peptide hits within a single replicate, and a minimum of four total tandem mass spectral assignments in the combined technical and biologi</w:t>
      </w:r>
      <w:r w:rsidRPr="00326AC2">
        <w:rPr>
          <w:rFonts w:ascii="Times" w:hAnsi="Times" w:cs="Sabon"/>
          <w:color w:val="000000"/>
        </w:rPr>
        <w:softHyphen/>
        <w:t>cal replicates were used in further characterizations described below.</w:t>
      </w:r>
    </w:p>
    <w:p w14:paraId="50703FFF" w14:textId="4EA702D1"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 xml:space="preserve">In order to annotate corresponding proteins, the </w:t>
      </w:r>
      <w:r w:rsidRPr="00326AC2">
        <w:rPr>
          <w:rFonts w:ascii="Times" w:hAnsi="Times" w:cs="Sabon"/>
          <w:i/>
          <w:iCs/>
          <w:color w:val="000000"/>
        </w:rPr>
        <w:t xml:space="preserve">C. gigas </w:t>
      </w:r>
      <w:r w:rsidRPr="00326AC2">
        <w:rPr>
          <w:rFonts w:ascii="Times" w:hAnsi="Times" w:cs="Sabon"/>
          <w:color w:val="000000"/>
        </w:rPr>
        <w:t xml:space="preserve">proteome (version 9) was compared with the UniProtKB/ Swiss-Prot database (www.uniprot.org) using Blastp with an e-value limit </w:t>
      </w:r>
      <w:r w:rsidR="00E57114">
        <w:rPr>
          <w:rFonts w:ascii="Times" w:hAnsi="Times" w:cs="Sabon"/>
          <w:color w:val="000000"/>
        </w:rPr>
        <w:t>of 1E</w:t>
      </w:r>
      <w:r w:rsidRPr="00326AC2">
        <w:rPr>
          <w:rStyle w:val="A10"/>
          <w:rFonts w:ascii="Times" w:hAnsi="Times"/>
          <w:sz w:val="24"/>
          <w:szCs w:val="24"/>
        </w:rPr>
        <w:t>-10</w:t>
      </w:r>
      <w:r w:rsidRPr="00326AC2">
        <w:rPr>
          <w:rFonts w:ascii="Times" w:hAnsi="Times" w:cs="Sabon"/>
          <w:color w:val="000000"/>
        </w:rPr>
        <w:t>. Associated gene ontology (GO) terms were used to classify sequences based on biological process, as well as to categorize genes into parent categories (GO Slim). Enrichment analysis was used to identify over-represented biological processes in the gill proteome com</w:t>
      </w:r>
      <w:r w:rsidRPr="00326AC2">
        <w:rPr>
          <w:rFonts w:ascii="Times" w:hAnsi="Times" w:cs="Sabon"/>
          <w:color w:val="000000"/>
        </w:rPr>
        <w:softHyphen/>
        <w:t xml:space="preserve">pared with the entire proteome [Database for Annotation, Visualization and Integrated Discovery (DAVID), version 6.7; Huang </w:t>
      </w:r>
      <w:r w:rsidRPr="00326AC2">
        <w:rPr>
          <w:rFonts w:ascii="Times" w:hAnsi="Times" w:cs="Sabon"/>
          <w:i/>
          <w:iCs/>
          <w:color w:val="000000"/>
        </w:rPr>
        <w:t>et al.</w:t>
      </w:r>
      <w:r w:rsidRPr="00326AC2">
        <w:rPr>
          <w:rFonts w:ascii="Times" w:hAnsi="Times" w:cs="Sabon"/>
          <w:color w:val="000000"/>
        </w:rPr>
        <w:t xml:space="preserve">, 2009a, 2009b, http://david.abcc.ncifcrf. gov/]. The results of the enrichment analysis were visualized in REViGO (Reduce and Visualize Gene Ontology; Supek </w:t>
      </w:r>
      <w:r w:rsidRPr="00326AC2">
        <w:rPr>
          <w:rFonts w:ascii="Times" w:hAnsi="Times" w:cs="Sabon"/>
          <w:i/>
          <w:iCs/>
          <w:color w:val="000000"/>
        </w:rPr>
        <w:t>et al.</w:t>
      </w:r>
      <w:r w:rsidRPr="00326AC2">
        <w:rPr>
          <w:rFonts w:ascii="Times" w:hAnsi="Times" w:cs="Sabon"/>
          <w:color w:val="000000"/>
        </w:rPr>
        <w:t xml:space="preserve">, 2011, http://revigo.irb.hr/). Normalized spectral abundance factor (NSAF; Florens </w:t>
      </w:r>
      <w:r w:rsidRPr="00326AC2">
        <w:rPr>
          <w:rFonts w:ascii="Times" w:hAnsi="Times" w:cs="Sabon"/>
          <w:i/>
          <w:iCs/>
          <w:color w:val="000000"/>
        </w:rPr>
        <w:t>et al.</w:t>
      </w:r>
      <w:r w:rsidRPr="00326AC2">
        <w:rPr>
          <w:rFonts w:ascii="Times" w:hAnsi="Times" w:cs="Sabon"/>
          <w:color w:val="000000"/>
        </w:rPr>
        <w:t xml:space="preserve">, 2006) was used to calculate expression for each protein in each oyster. </w:t>
      </w:r>
      <w:proofErr w:type="gramStart"/>
      <w:r w:rsidRPr="00326AC2">
        <w:rPr>
          <w:rFonts w:ascii="Times" w:hAnsi="Times" w:cs="Sabon"/>
          <w:color w:val="000000"/>
        </w:rPr>
        <w:t>Technical replicates were pooled by taking the sum of total independent tandem mass spectra for each protein</w:t>
      </w:r>
      <w:proofErr w:type="gramEnd"/>
      <w:r w:rsidRPr="00326AC2">
        <w:rPr>
          <w:rFonts w:ascii="Times" w:hAnsi="Times" w:cs="Sabon"/>
          <w:color w:val="000000"/>
        </w:rPr>
        <w:t xml:space="preserve"> (SpC). For each protein, SpC was divided by protein length (</w:t>
      </w:r>
      <w:r w:rsidRPr="00326AC2">
        <w:rPr>
          <w:rFonts w:ascii="Times" w:hAnsi="Times" w:cs="Sabon"/>
          <w:i/>
          <w:iCs/>
          <w:color w:val="000000"/>
        </w:rPr>
        <w:t>L</w:t>
      </w:r>
      <w:r w:rsidRPr="00326AC2">
        <w:rPr>
          <w:rFonts w:ascii="Times" w:hAnsi="Times" w:cs="Sabon"/>
          <w:color w:val="000000"/>
        </w:rPr>
        <w:t>). The NSAF is calculated from SpC/</w:t>
      </w:r>
      <w:r w:rsidRPr="00326AC2">
        <w:rPr>
          <w:rFonts w:ascii="Times" w:hAnsi="Times" w:cs="Sabon"/>
          <w:i/>
          <w:iCs/>
          <w:color w:val="000000"/>
        </w:rPr>
        <w:t xml:space="preserve">L </w:t>
      </w:r>
      <w:r w:rsidRPr="00326AC2">
        <w:rPr>
          <w:rFonts w:ascii="Times" w:hAnsi="Times" w:cs="Sabon"/>
          <w:color w:val="000000"/>
        </w:rPr>
        <w:t>divided by the sum of all SpC/</w:t>
      </w:r>
      <w:r w:rsidRPr="00326AC2">
        <w:rPr>
          <w:rFonts w:ascii="Times" w:hAnsi="Times" w:cs="Sabon"/>
          <w:i/>
          <w:iCs/>
          <w:color w:val="000000"/>
        </w:rPr>
        <w:t xml:space="preserve">L </w:t>
      </w:r>
      <w:r w:rsidRPr="00326AC2">
        <w:rPr>
          <w:rFonts w:ascii="Times" w:hAnsi="Times" w:cs="Sabon"/>
          <w:color w:val="000000"/>
        </w:rPr>
        <w:t>values for the proteins for a particular oyster. Comparisons of proteins identified across biological sam</w:t>
      </w:r>
      <w:r w:rsidRPr="00326AC2">
        <w:rPr>
          <w:rFonts w:ascii="Times" w:hAnsi="Times" w:cs="Sabon"/>
          <w:color w:val="000000"/>
        </w:rPr>
        <w:softHyphen/>
        <w:t xml:space="preserve">ples were visualized using Venny (Oliveros, 2007). </w:t>
      </w:r>
    </w:p>
    <w:p w14:paraId="7A4F03C2" w14:textId="7D54012F"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The minimum number of peptides needed to be sequenced to optimize unique protein identifications was determined using an </w:t>
      </w:r>
      <w:r w:rsidRPr="00326AC2">
        <w:rPr>
          <w:rFonts w:ascii="Times" w:hAnsi="Times" w:cs="Sabon"/>
          <w:i/>
          <w:iCs/>
          <w:color w:val="000000"/>
        </w:rPr>
        <w:t xml:space="preserve">in silico </w:t>
      </w:r>
      <w:r w:rsidRPr="00326AC2">
        <w:rPr>
          <w:rFonts w:ascii="Times" w:hAnsi="Times" w:cs="Sabon"/>
          <w:color w:val="000000"/>
        </w:rPr>
        <w:t>approach. A list was constructed of all sequenced peptides and their matching protein identification. Redundancies were maintained in this list, so that if a certain peptide was sequenced multiple times it was included multiple times in the list. Randomized subsets of this list were generated using the sample function in R (R Development Core Team, 2009). The number of hypothetically sequenced peptides in these lists ranged from 500 to 70 000. A plot was generated to visualize the relationship between each sample size of randomly chosen peptides and the number of unique proteins identified.</w:t>
      </w:r>
    </w:p>
    <w:p w14:paraId="26FE368B" w14:textId="77777777" w:rsidR="00C02D9B" w:rsidRDefault="00C02D9B" w:rsidP="00C02D9B">
      <w:pPr>
        <w:pStyle w:val="Heading2"/>
      </w:pPr>
      <w:bookmarkStart w:id="38" w:name="_Toc252110002"/>
      <w:r>
        <w:t>Results</w:t>
      </w:r>
      <w:bookmarkEnd w:id="38"/>
    </w:p>
    <w:p w14:paraId="0DB3E0EF" w14:textId="77777777" w:rsidR="0013210F" w:rsidRPr="0013210F" w:rsidRDefault="0013210F" w:rsidP="0013210F"/>
    <w:p w14:paraId="3EA07912" w14:textId="39828B21" w:rsid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A combined total of 175 </w:t>
      </w:r>
      <w:proofErr w:type="gramStart"/>
      <w:r w:rsidRPr="00326AC2">
        <w:rPr>
          <w:rFonts w:ascii="Times" w:hAnsi="Times" w:cs="Sabon"/>
          <w:color w:val="000000"/>
        </w:rPr>
        <w:t>818 tandem</w:t>
      </w:r>
      <w:proofErr w:type="gramEnd"/>
      <w:r w:rsidRPr="00326AC2">
        <w:rPr>
          <w:rFonts w:ascii="Times" w:hAnsi="Times" w:cs="Sabon"/>
          <w:color w:val="000000"/>
        </w:rPr>
        <w:t xml:space="preserve"> MS spectra were gener</w:t>
      </w:r>
      <w:r w:rsidRPr="00326AC2">
        <w:rPr>
          <w:rFonts w:ascii="Times" w:hAnsi="Times" w:cs="Sabon"/>
          <w:color w:val="000000"/>
        </w:rPr>
        <w:softHyphen/>
        <w:t xml:space="preserve">ated across all four biological and three technical replicates using the Orbitrap mass spectrometer (Table </w:t>
      </w:r>
      <w:r w:rsidR="005E6037">
        <w:rPr>
          <w:rFonts w:ascii="Times" w:hAnsi="Times" w:cs="Sabon"/>
          <w:color w:val="000000"/>
        </w:rPr>
        <w:t>II.</w:t>
      </w:r>
      <w:r w:rsidRPr="00326AC2">
        <w:rPr>
          <w:rFonts w:ascii="Times" w:hAnsi="Times" w:cs="Sabon"/>
          <w:color w:val="000000"/>
        </w:rPr>
        <w:t xml:space="preserve">1). Expression values were comparable between biological replicates, with </w:t>
      </w:r>
      <w:r w:rsidRPr="00326AC2">
        <w:rPr>
          <w:rFonts w:ascii="Times" w:hAnsi="Times" w:cs="Sabon"/>
          <w:i/>
          <w:iCs/>
          <w:color w:val="000000"/>
        </w:rPr>
        <w:t>r</w:t>
      </w:r>
      <w:r w:rsidRPr="005E6037">
        <w:rPr>
          <w:rStyle w:val="A10"/>
          <w:rFonts w:ascii="Times" w:hAnsi="Times"/>
          <w:sz w:val="24"/>
          <w:szCs w:val="24"/>
          <w:vertAlign w:val="superscript"/>
        </w:rPr>
        <w:t>2</w:t>
      </w:r>
      <w:r w:rsidRPr="00326AC2">
        <w:rPr>
          <w:rStyle w:val="A10"/>
          <w:rFonts w:ascii="Times" w:hAnsi="Times"/>
          <w:sz w:val="24"/>
          <w:szCs w:val="24"/>
        </w:rPr>
        <w:t xml:space="preserve"> </w:t>
      </w:r>
      <w:r w:rsidRPr="00326AC2">
        <w:rPr>
          <w:rFonts w:ascii="Times" w:hAnsi="Times" w:cs="Sabon"/>
          <w:color w:val="000000"/>
        </w:rPr>
        <w:t xml:space="preserve">ranging from 0.800 to 0.889 (Supplementary Data </w:t>
      </w:r>
      <w:r w:rsidR="005E6037">
        <w:rPr>
          <w:rFonts w:ascii="Times" w:hAnsi="Times" w:cs="Sabon"/>
          <w:color w:val="000000"/>
        </w:rPr>
        <w:t>II.</w:t>
      </w:r>
      <w:r w:rsidRPr="00326AC2">
        <w:rPr>
          <w:rFonts w:ascii="Times" w:hAnsi="Times" w:cs="Sabon"/>
          <w:color w:val="000000"/>
        </w:rPr>
        <w:t xml:space="preserve">1). A total of 54 521 unique peptides contributed to the identification of 2850 proteins, with a probability score threshold of 0.9 (Supplementary Data </w:t>
      </w:r>
      <w:r w:rsidR="005E6037">
        <w:rPr>
          <w:rFonts w:ascii="Times" w:hAnsi="Times" w:cs="Sabon"/>
          <w:color w:val="000000"/>
        </w:rPr>
        <w:t>II.</w:t>
      </w:r>
      <w:r w:rsidRPr="00326AC2">
        <w:rPr>
          <w:rFonts w:ascii="Times" w:hAnsi="Times" w:cs="Sabon"/>
          <w:color w:val="000000"/>
        </w:rPr>
        <w:t>2). Of these proteins, 1043 had at least two unique peptide hits and four tandem mass spectra in the combined replicates. The mean coverage of proteins by sequenced amino acids was 13.3%. Protein identifications for each injection, including protein probability scores, num</w:t>
      </w:r>
      <w:r w:rsidRPr="00326AC2">
        <w:rPr>
          <w:rFonts w:ascii="Times" w:hAnsi="Times" w:cs="Sabon"/>
          <w:color w:val="000000"/>
        </w:rPr>
        <w:softHyphen/>
        <w:t xml:space="preserve">ber of total and unique spectra, and peptide sequences, are provided in Supplementary Data </w:t>
      </w:r>
      <w:r w:rsidR="005E6037">
        <w:rPr>
          <w:rFonts w:ascii="Times" w:hAnsi="Times" w:cs="Sabon"/>
          <w:color w:val="000000"/>
        </w:rPr>
        <w:t>II.</w:t>
      </w:r>
      <w:r w:rsidRPr="00326AC2">
        <w:rPr>
          <w:rFonts w:ascii="Times" w:hAnsi="Times" w:cs="Sabon"/>
          <w:color w:val="000000"/>
        </w:rPr>
        <w:t xml:space="preserve">3. The NSAF values for each protein are provided in Supplementary Data </w:t>
      </w:r>
      <w:r w:rsidR="005E6037">
        <w:rPr>
          <w:rFonts w:ascii="Times" w:hAnsi="Times" w:cs="Sabon"/>
          <w:color w:val="000000"/>
        </w:rPr>
        <w:t>II.</w:t>
      </w:r>
      <w:r w:rsidRPr="00326AC2">
        <w:rPr>
          <w:rFonts w:ascii="Times" w:hAnsi="Times" w:cs="Sabon"/>
          <w:color w:val="000000"/>
        </w:rPr>
        <w:t>4.</w:t>
      </w:r>
    </w:p>
    <w:p w14:paraId="3FFC0F12" w14:textId="77777777" w:rsidR="002214CA" w:rsidRDefault="002214CA" w:rsidP="002214CA">
      <w:pPr>
        <w:rPr>
          <w:rFonts w:ascii="Times" w:hAnsi="Times" w:cs="Sabon"/>
          <w:color w:val="000000"/>
        </w:rPr>
      </w:pPr>
    </w:p>
    <w:p w14:paraId="43DB01A0" w14:textId="666829FC" w:rsidR="002214CA" w:rsidRDefault="002214CA" w:rsidP="002214CA">
      <w:pPr>
        <w:rPr>
          <w:rFonts w:ascii="Times" w:hAnsi="Times" w:cs="Sabon"/>
          <w:color w:val="000000"/>
        </w:rPr>
      </w:pPr>
      <w:r>
        <w:rPr>
          <w:rFonts w:ascii="Times" w:hAnsi="Times" w:cs="Sabon"/>
          <w:color w:val="000000"/>
        </w:rPr>
        <w:t xml:space="preserve">Table </w:t>
      </w:r>
      <w:r w:rsidR="00426D9F">
        <w:rPr>
          <w:rFonts w:ascii="Times" w:hAnsi="Times" w:cs="Sabon"/>
          <w:color w:val="000000"/>
        </w:rPr>
        <w:t>II.</w:t>
      </w:r>
      <w:r>
        <w:rPr>
          <w:rFonts w:ascii="Times" w:hAnsi="Times" w:cs="Sabon"/>
          <w:color w:val="000000"/>
        </w:rPr>
        <w:t>1. Summary of the number of peptides sequenced and proteins identified for each oyster (labeled A-D)</w:t>
      </w:r>
    </w:p>
    <w:p w14:paraId="4075940B" w14:textId="6F27C029" w:rsidR="002214CA" w:rsidRDefault="002214CA" w:rsidP="002214CA">
      <w:pPr>
        <w:rPr>
          <w:rFonts w:ascii="Times" w:hAnsi="Times" w:cs="Sabon"/>
          <w:color w:val="000000"/>
        </w:rPr>
      </w:pPr>
      <w:r>
        <w:rPr>
          <w:rFonts w:ascii="Times" w:hAnsi="Times" w:cs="Sabon"/>
          <w:noProof/>
          <w:color w:val="000000"/>
          <w:lang w:eastAsia="en-US"/>
        </w:rPr>
        <w:drawing>
          <wp:inline distT="0" distB="0" distL="0" distR="0" wp14:anchorId="6303C5C6" wp14:editId="5B82B239">
            <wp:extent cx="5486400" cy="2078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078990"/>
                    </a:xfrm>
                    <a:prstGeom prst="rect">
                      <a:avLst/>
                    </a:prstGeom>
                  </pic:spPr>
                </pic:pic>
              </a:graphicData>
            </a:graphic>
          </wp:inline>
        </w:drawing>
      </w:r>
    </w:p>
    <w:p w14:paraId="25F115C1" w14:textId="77777777" w:rsidR="002214CA" w:rsidRPr="00326AC2" w:rsidRDefault="002214CA" w:rsidP="002214CA">
      <w:pPr>
        <w:rPr>
          <w:rFonts w:ascii="Times" w:hAnsi="Times" w:cs="Sabon"/>
          <w:color w:val="000000"/>
        </w:rPr>
      </w:pPr>
    </w:p>
    <w:p w14:paraId="57B122CB" w14:textId="60203A44" w:rsid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For all biological samples, the number of proteins identi</w:t>
      </w:r>
      <w:r w:rsidRPr="00326AC2">
        <w:rPr>
          <w:rFonts w:ascii="Times" w:hAnsi="Times" w:cs="Sabon"/>
          <w:color w:val="000000"/>
        </w:rPr>
        <w:softHyphen/>
        <w:t>fied in each technical replicate was consistent with minimal standard deviation (1.2–3.5%). In each biological replicate, the proteins were identified from between 43 275 and 44 720 sequenced peptides (standard deviation as a percentage of the mean ranged from 4.8 to 7.4%). For each oyster, 54–55% of the identified proteins were present in all three technical rep</w:t>
      </w:r>
      <w:r w:rsidRPr="00326AC2">
        <w:rPr>
          <w:rFonts w:ascii="Times" w:hAnsi="Times" w:cs="Sabon"/>
          <w:color w:val="000000"/>
        </w:rPr>
        <w:softHyphen/>
        <w:t>licates. Using spectral counts as a proxy for relative expres</w:t>
      </w:r>
      <w:r w:rsidRPr="00326AC2">
        <w:rPr>
          <w:rFonts w:ascii="Times" w:hAnsi="Times" w:cs="Sabon"/>
          <w:color w:val="000000"/>
        </w:rPr>
        <w:softHyphen/>
        <w:t xml:space="preserve">sion, protein expression levels were consistent across technical replicates (Fig. </w:t>
      </w:r>
      <w:r w:rsidR="005E6037">
        <w:rPr>
          <w:rFonts w:ascii="Times" w:hAnsi="Times" w:cs="Sabon"/>
          <w:color w:val="000000"/>
        </w:rPr>
        <w:t>II.</w:t>
      </w:r>
      <w:r w:rsidRPr="00326AC2">
        <w:rPr>
          <w:rFonts w:ascii="Times" w:hAnsi="Times" w:cs="Sabon"/>
          <w:color w:val="000000"/>
        </w:rPr>
        <w:t xml:space="preserve">1). </w:t>
      </w:r>
    </w:p>
    <w:p w14:paraId="2CDC6694" w14:textId="338F7500" w:rsidR="002214CA" w:rsidRDefault="002214CA" w:rsidP="002214CA">
      <w:pPr>
        <w:pStyle w:val="Default"/>
      </w:pPr>
      <w:r>
        <w:rPr>
          <w:noProof/>
          <w:lang w:eastAsia="en-US"/>
        </w:rPr>
        <w:drawing>
          <wp:inline distT="0" distB="0" distL="0" distR="0" wp14:anchorId="21884D5B" wp14:editId="7888E6E3">
            <wp:extent cx="3823335" cy="3823335"/>
            <wp:effectExtent l="0" t="0" r="1206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tech reps.jpg"/>
                    <pic:cNvPicPr/>
                  </pic:nvPicPr>
                  <pic:blipFill>
                    <a:blip r:embed="rId16">
                      <a:extLst>
                        <a:ext uri="{28A0092B-C50C-407E-A947-70E740481C1C}">
                          <a14:useLocalDpi xmlns:a14="http://schemas.microsoft.com/office/drawing/2010/main" val="0"/>
                        </a:ext>
                      </a:extLst>
                    </a:blip>
                    <a:stretch>
                      <a:fillRect/>
                    </a:stretch>
                  </pic:blipFill>
                  <pic:spPr>
                    <a:xfrm>
                      <a:off x="0" y="0"/>
                      <a:ext cx="3823335" cy="3823335"/>
                    </a:xfrm>
                    <a:prstGeom prst="rect">
                      <a:avLst/>
                    </a:prstGeom>
                  </pic:spPr>
                </pic:pic>
              </a:graphicData>
            </a:graphic>
          </wp:inline>
        </w:drawing>
      </w:r>
    </w:p>
    <w:p w14:paraId="370E7B71" w14:textId="451F8E00" w:rsidR="002214CA" w:rsidRDefault="002214CA" w:rsidP="002214CA">
      <w:pPr>
        <w:pStyle w:val="Default"/>
      </w:pPr>
      <w:r>
        <w:t xml:space="preserve">Figure </w:t>
      </w:r>
      <w:r w:rsidR="00426D9F">
        <w:t>II.</w:t>
      </w:r>
      <w:r>
        <w:t xml:space="preserve">1. Total independent spectral counts for three technical replicates for oyster </w:t>
      </w:r>
      <w:proofErr w:type="gramStart"/>
      <w:r>
        <w:t>A</w:t>
      </w:r>
      <w:proofErr w:type="gramEnd"/>
      <w:r>
        <w:t xml:space="preserve"> plotted for each protein (n = 1500).  Similar patterns were observed for the other three oysters (data not shown).</w:t>
      </w:r>
    </w:p>
    <w:p w14:paraId="41A263F6" w14:textId="77777777" w:rsidR="002214CA" w:rsidRPr="002214CA" w:rsidRDefault="002214CA" w:rsidP="002214CA">
      <w:pPr>
        <w:pStyle w:val="Default"/>
      </w:pPr>
    </w:p>
    <w:p w14:paraId="15CD75BB" w14:textId="6BD0677D"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The number of proteins identified in each oyster (after pooling technical replicates; see Methods) was 923, 959, 883, and 875 (Table </w:t>
      </w:r>
      <w:r w:rsidR="005E6037">
        <w:rPr>
          <w:rFonts w:ascii="Times" w:hAnsi="Times" w:cs="Sabon"/>
          <w:color w:val="000000"/>
        </w:rPr>
        <w:t>II.</w:t>
      </w:r>
      <w:r w:rsidRPr="00326AC2">
        <w:rPr>
          <w:rFonts w:ascii="Times" w:hAnsi="Times" w:cs="Sabon"/>
          <w:color w:val="000000"/>
        </w:rPr>
        <w:t>1). Most proteins (</w:t>
      </w:r>
      <w:r w:rsidRPr="00326AC2">
        <w:rPr>
          <w:rFonts w:ascii="Times" w:hAnsi="Times" w:cs="Sabon"/>
          <w:i/>
          <w:iCs/>
          <w:color w:val="000000"/>
        </w:rPr>
        <w:t xml:space="preserve">n </w:t>
      </w:r>
      <w:r w:rsidRPr="00326AC2">
        <w:rPr>
          <w:rFonts w:ascii="Times" w:hAnsi="Times" w:cs="Sabon"/>
          <w:color w:val="000000"/>
        </w:rPr>
        <w:t>= 703) were identi</w:t>
      </w:r>
      <w:r w:rsidRPr="00326AC2">
        <w:rPr>
          <w:rFonts w:ascii="Times" w:hAnsi="Times" w:cs="Sabon"/>
          <w:color w:val="000000"/>
        </w:rPr>
        <w:softHyphen/>
        <w:t xml:space="preserve">fied across all biological samples (Fig. </w:t>
      </w:r>
      <w:r w:rsidR="005E6037">
        <w:rPr>
          <w:rFonts w:ascii="Times" w:hAnsi="Times" w:cs="Sabon"/>
          <w:color w:val="000000"/>
        </w:rPr>
        <w:t>II.</w:t>
      </w:r>
      <w:r w:rsidRPr="00326AC2">
        <w:rPr>
          <w:rFonts w:ascii="Times" w:hAnsi="Times" w:cs="Sabon"/>
          <w:color w:val="000000"/>
        </w:rPr>
        <w:t xml:space="preserve">2). </w:t>
      </w:r>
    </w:p>
    <w:p w14:paraId="22D9FBFA" w14:textId="2BFE546D" w:rsidR="002214CA" w:rsidRDefault="00941786" w:rsidP="002214CA">
      <w:pPr>
        <w:pStyle w:val="Default"/>
      </w:pPr>
      <w:r>
        <w:rPr>
          <w:noProof/>
          <w:lang w:eastAsia="en-US"/>
        </w:rPr>
        <w:drawing>
          <wp:inline distT="0" distB="0" distL="0" distR="0" wp14:anchorId="56F9B190" wp14:editId="19ACD4EA">
            <wp:extent cx="4166235" cy="4166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ster protein overlap.png"/>
                    <pic:cNvPicPr/>
                  </pic:nvPicPr>
                  <pic:blipFill>
                    <a:blip r:embed="rId17">
                      <a:extLst>
                        <a:ext uri="{28A0092B-C50C-407E-A947-70E740481C1C}">
                          <a14:useLocalDpi xmlns:a14="http://schemas.microsoft.com/office/drawing/2010/main" val="0"/>
                        </a:ext>
                      </a:extLst>
                    </a:blip>
                    <a:stretch>
                      <a:fillRect/>
                    </a:stretch>
                  </pic:blipFill>
                  <pic:spPr>
                    <a:xfrm>
                      <a:off x="0" y="0"/>
                      <a:ext cx="4166235" cy="4166235"/>
                    </a:xfrm>
                    <a:prstGeom prst="rect">
                      <a:avLst/>
                    </a:prstGeom>
                  </pic:spPr>
                </pic:pic>
              </a:graphicData>
            </a:graphic>
          </wp:inline>
        </w:drawing>
      </w:r>
    </w:p>
    <w:p w14:paraId="3AD0664C" w14:textId="66976D97" w:rsidR="0070002F" w:rsidRDefault="0070002F" w:rsidP="002214CA">
      <w:pPr>
        <w:pStyle w:val="Default"/>
      </w:pPr>
      <w:r>
        <w:t xml:space="preserve">Figure </w:t>
      </w:r>
      <w:r w:rsidR="00426D9F">
        <w:t>II.</w:t>
      </w:r>
      <w:r>
        <w:t xml:space="preserve">2.  Venn diagram of proteins identified among biological samples.  Proteins identified in oyster </w:t>
      </w:r>
      <w:proofErr w:type="gramStart"/>
      <w:r>
        <w:t>A</w:t>
      </w:r>
      <w:proofErr w:type="gramEnd"/>
      <w:r>
        <w:t xml:space="preserve"> are in the blue ellipse, B in the yellow, C in green, and oyster D proteins are in the red ellipse.</w:t>
      </w:r>
    </w:p>
    <w:p w14:paraId="2F30379B" w14:textId="77777777" w:rsidR="0070002F" w:rsidRPr="002214CA" w:rsidRDefault="0070002F" w:rsidP="002214CA">
      <w:pPr>
        <w:pStyle w:val="Default"/>
      </w:pPr>
    </w:p>
    <w:p w14:paraId="062A47E6" w14:textId="351F14EE"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In order to evaluate general protein expression and assess sample variability, the 10 most highly expressed proteins in each oyster were identified. There was not complete overlap in this group of proteins among the four oysters, so that a total of 12 proteins represent the most highly expressed for the entire dataset (Table </w:t>
      </w:r>
      <w:r w:rsidR="005E6037">
        <w:rPr>
          <w:rFonts w:ascii="Times" w:hAnsi="Times" w:cs="Sabon"/>
          <w:color w:val="000000"/>
        </w:rPr>
        <w:t>II.</w:t>
      </w:r>
      <w:r w:rsidRPr="00326AC2">
        <w:rPr>
          <w:rFonts w:ascii="Times" w:hAnsi="Times" w:cs="Sabon"/>
          <w:color w:val="000000"/>
        </w:rPr>
        <w:t>2). The 12 most abundant proteins across the four oysters analysed represent core cell structure and function, such as nucleosome assembly, cytoskeleton structure, muscle components, turnover of intracellular pro</w:t>
      </w:r>
      <w:r w:rsidRPr="00326AC2">
        <w:rPr>
          <w:rFonts w:ascii="Times" w:hAnsi="Times" w:cs="Sabon"/>
          <w:color w:val="000000"/>
        </w:rPr>
        <w:softHyphen/>
        <w:t xml:space="preserve">teins, and protection against oxidative stress. Eight of these 12 proteins (arginine kinase, actin, histone H2A, histone H2B.3, histone H4, peptidyl-prolyl </w:t>
      </w:r>
      <w:r w:rsidRPr="00326AC2">
        <w:rPr>
          <w:rFonts w:ascii="Times" w:hAnsi="Times" w:cs="Sabon"/>
          <w:i/>
          <w:iCs/>
          <w:color w:val="000000"/>
        </w:rPr>
        <w:t xml:space="preserve">cis-trans </w:t>
      </w:r>
      <w:r w:rsidRPr="00326AC2">
        <w:rPr>
          <w:rFonts w:ascii="Times" w:hAnsi="Times" w:cs="Sabon"/>
          <w:color w:val="000000"/>
        </w:rPr>
        <w:t>isomerase, extracellular superoxide dismutase, and cytosol aminopepti</w:t>
      </w:r>
      <w:r w:rsidRPr="00326AC2">
        <w:rPr>
          <w:rFonts w:ascii="Times" w:hAnsi="Times" w:cs="Sabon"/>
          <w:color w:val="000000"/>
        </w:rPr>
        <w:softHyphen/>
        <w:t xml:space="preserve">dase) were identified in the top 10 most expressed proteins in all four oysters. </w:t>
      </w:r>
    </w:p>
    <w:p w14:paraId="7BE1CCEB" w14:textId="77777777" w:rsidR="0070002F" w:rsidRDefault="0070002F" w:rsidP="0070002F">
      <w:pPr>
        <w:pStyle w:val="Default"/>
      </w:pPr>
    </w:p>
    <w:p w14:paraId="2BF704FF" w14:textId="77777777" w:rsidR="009079FD" w:rsidRDefault="009079FD" w:rsidP="0070002F">
      <w:pPr>
        <w:pStyle w:val="Default"/>
      </w:pPr>
    </w:p>
    <w:p w14:paraId="3E877CFC" w14:textId="77777777" w:rsidR="009079FD" w:rsidRDefault="009079FD" w:rsidP="0070002F">
      <w:pPr>
        <w:pStyle w:val="Default"/>
      </w:pPr>
    </w:p>
    <w:p w14:paraId="207F5BBE" w14:textId="5A5420A8" w:rsidR="0070002F" w:rsidRDefault="0070002F" w:rsidP="0070002F">
      <w:pPr>
        <w:pStyle w:val="Default"/>
      </w:pPr>
      <w:r>
        <w:t xml:space="preserve">Table </w:t>
      </w:r>
      <w:r w:rsidR="00426D9F">
        <w:t>II.</w:t>
      </w:r>
      <w:r>
        <w:t xml:space="preserve">2. </w:t>
      </w:r>
      <w:proofErr w:type="gramStart"/>
      <w:r>
        <w:t>The 12 most abundant proteins in the gill proteome as determined by identifying the 10 most abundant proteins in each oyster.</w:t>
      </w:r>
      <w:proofErr w:type="gramEnd"/>
    </w:p>
    <w:p w14:paraId="50EF51FA" w14:textId="394361EE" w:rsidR="0070002F" w:rsidRDefault="0070002F" w:rsidP="0070002F">
      <w:pPr>
        <w:pStyle w:val="Default"/>
      </w:pPr>
      <w:r>
        <w:rPr>
          <w:noProof/>
          <w:lang w:eastAsia="en-US"/>
        </w:rPr>
        <w:drawing>
          <wp:inline distT="0" distB="0" distL="0" distR="0" wp14:anchorId="6910C4E5" wp14:editId="074B33D7">
            <wp:extent cx="5486400" cy="2564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2564130"/>
                    </a:xfrm>
                    <a:prstGeom prst="rect">
                      <a:avLst/>
                    </a:prstGeom>
                  </pic:spPr>
                </pic:pic>
              </a:graphicData>
            </a:graphic>
          </wp:inline>
        </w:drawing>
      </w:r>
    </w:p>
    <w:p w14:paraId="6BE0FD0F" w14:textId="77777777" w:rsidR="0070002F" w:rsidRPr="0070002F" w:rsidRDefault="0070002F" w:rsidP="0070002F">
      <w:pPr>
        <w:pStyle w:val="Default"/>
      </w:pPr>
    </w:p>
    <w:p w14:paraId="1F15088A" w14:textId="0472C54F"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Of the 1043 proteins expressed across all samples, 1033 were annotated using the UnitProt-KB/SwissProt database. Of the annotated proteins, 888 were associated with Gene Ontology classifications. A majority of proteins were associ</w:t>
      </w:r>
      <w:r w:rsidRPr="00326AC2">
        <w:rPr>
          <w:rFonts w:ascii="Times" w:hAnsi="Times" w:cs="Sabon"/>
          <w:color w:val="000000"/>
        </w:rPr>
        <w:softHyphen/>
        <w:t>ated with the biological process of protein metabolism (</w:t>
      </w:r>
      <w:r w:rsidRPr="00326AC2">
        <w:rPr>
          <w:rFonts w:ascii="Times" w:hAnsi="Times" w:cs="Sabon"/>
          <w:i/>
          <w:iCs/>
          <w:color w:val="000000"/>
        </w:rPr>
        <w:t xml:space="preserve">n </w:t>
      </w:r>
      <w:r w:rsidRPr="00326AC2">
        <w:rPr>
          <w:rFonts w:ascii="Times" w:hAnsi="Times" w:cs="Sabon"/>
          <w:color w:val="000000"/>
        </w:rPr>
        <w:t>= 273), followed by cell organization and biogenesis (</w:t>
      </w:r>
      <w:r w:rsidRPr="00326AC2">
        <w:rPr>
          <w:rFonts w:ascii="Times" w:hAnsi="Times" w:cs="Sabon"/>
          <w:i/>
          <w:iCs/>
          <w:color w:val="000000"/>
        </w:rPr>
        <w:t xml:space="preserve">n </w:t>
      </w:r>
      <w:r w:rsidRPr="00326AC2">
        <w:rPr>
          <w:rFonts w:ascii="Times" w:hAnsi="Times" w:cs="Sabon"/>
          <w:color w:val="000000"/>
        </w:rPr>
        <w:t>= 201), and transport (</w:t>
      </w:r>
      <w:r w:rsidRPr="00326AC2">
        <w:rPr>
          <w:rFonts w:ascii="Times" w:hAnsi="Times" w:cs="Sabon"/>
          <w:i/>
          <w:iCs/>
          <w:color w:val="000000"/>
        </w:rPr>
        <w:t xml:space="preserve">n </w:t>
      </w:r>
      <w:r w:rsidRPr="00326AC2">
        <w:rPr>
          <w:rFonts w:ascii="Times" w:hAnsi="Times" w:cs="Sabon"/>
          <w:color w:val="000000"/>
        </w:rPr>
        <w:t xml:space="preserve">= 165) (Fig. </w:t>
      </w:r>
      <w:r w:rsidR="005E6037">
        <w:rPr>
          <w:rFonts w:ascii="Times" w:hAnsi="Times" w:cs="Sabon"/>
          <w:color w:val="000000"/>
        </w:rPr>
        <w:t>II.</w:t>
      </w:r>
      <w:r w:rsidRPr="00326AC2">
        <w:rPr>
          <w:rFonts w:ascii="Times" w:hAnsi="Times" w:cs="Sabon"/>
          <w:color w:val="000000"/>
        </w:rPr>
        <w:t xml:space="preserve">3). </w:t>
      </w:r>
    </w:p>
    <w:p w14:paraId="6B107B45" w14:textId="68698054" w:rsidR="0070002F" w:rsidRDefault="0070002F" w:rsidP="0070002F">
      <w:pPr>
        <w:pStyle w:val="Default"/>
      </w:pPr>
      <w:r>
        <w:rPr>
          <w:noProof/>
          <w:lang w:eastAsia="en-US"/>
        </w:rPr>
        <w:drawing>
          <wp:inline distT="0" distB="0" distL="0" distR="0" wp14:anchorId="326CF7D9" wp14:editId="31984404">
            <wp:extent cx="4280535" cy="3307505"/>
            <wp:effectExtent l="0" t="0" r="1206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 proteome pie.jpg"/>
                    <pic:cNvPicPr/>
                  </pic:nvPicPr>
                  <pic:blipFill>
                    <a:blip r:embed="rId19">
                      <a:extLst>
                        <a:ext uri="{28A0092B-C50C-407E-A947-70E740481C1C}">
                          <a14:useLocalDpi xmlns:a14="http://schemas.microsoft.com/office/drawing/2010/main" val="0"/>
                        </a:ext>
                      </a:extLst>
                    </a:blip>
                    <a:stretch>
                      <a:fillRect/>
                    </a:stretch>
                  </pic:blipFill>
                  <pic:spPr>
                    <a:xfrm>
                      <a:off x="0" y="0"/>
                      <a:ext cx="4281411" cy="3308182"/>
                    </a:xfrm>
                    <a:prstGeom prst="rect">
                      <a:avLst/>
                    </a:prstGeom>
                  </pic:spPr>
                </pic:pic>
              </a:graphicData>
            </a:graphic>
          </wp:inline>
        </w:drawing>
      </w:r>
    </w:p>
    <w:p w14:paraId="2DB145EC" w14:textId="6875AEF6" w:rsidR="0070002F" w:rsidRDefault="0070002F" w:rsidP="0070002F">
      <w:pPr>
        <w:pStyle w:val="Default"/>
      </w:pPr>
      <w:r>
        <w:t xml:space="preserve">Figure </w:t>
      </w:r>
      <w:r w:rsidR="00426D9F">
        <w:t>II.</w:t>
      </w:r>
      <w:r>
        <w:t>3. Representation of biological processes corresponding to the proteins identified from oyster gill tissue.</w:t>
      </w:r>
    </w:p>
    <w:p w14:paraId="04D44D39" w14:textId="77777777" w:rsidR="0070002F" w:rsidRPr="0070002F" w:rsidRDefault="0070002F" w:rsidP="0070002F">
      <w:pPr>
        <w:pStyle w:val="Default"/>
      </w:pPr>
    </w:p>
    <w:p w14:paraId="005489B8" w14:textId="420808D1"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Enrichment analysis was carried out to determine which biological processes were over-represented in gill tissue in comparison to the entire proteome. Several of the functional groups identified were associated with the abundant proteins involved in metabolism and transport, as well as structural processes (i.e. actin-filament and microtubule) and oxida</w:t>
      </w:r>
      <w:r w:rsidRPr="00326AC2">
        <w:rPr>
          <w:rFonts w:ascii="Times" w:hAnsi="Times" w:cs="Sabon"/>
          <w:color w:val="000000"/>
        </w:rPr>
        <w:softHyphen/>
        <w:t>tion–reduction. The most significantly enriched biological process was generation of precursor metabolites and energy. Protein IDs (accession numbers starting with “CGI”) corre</w:t>
      </w:r>
      <w:r w:rsidRPr="00326AC2">
        <w:rPr>
          <w:rFonts w:ascii="Times" w:hAnsi="Times" w:cs="Sabon"/>
          <w:color w:val="000000"/>
        </w:rPr>
        <w:softHyphen/>
        <w:t>sponding to the proteins that contributed to GO term enrich</w:t>
      </w:r>
      <w:r w:rsidRPr="00326AC2">
        <w:rPr>
          <w:rFonts w:ascii="Times" w:hAnsi="Times" w:cs="Sabon"/>
          <w:color w:val="000000"/>
        </w:rPr>
        <w:softHyphen/>
        <w:t xml:space="preserve">ment are listed in Supplementary Data </w:t>
      </w:r>
      <w:r w:rsidR="005E6037">
        <w:rPr>
          <w:rFonts w:ascii="Times" w:hAnsi="Times" w:cs="Sabon"/>
          <w:color w:val="000000"/>
        </w:rPr>
        <w:t>II.</w:t>
      </w:r>
      <w:r w:rsidRPr="00326AC2">
        <w:rPr>
          <w:rFonts w:ascii="Times" w:hAnsi="Times" w:cs="Sabon"/>
          <w:color w:val="000000"/>
        </w:rPr>
        <w:t>5.</w:t>
      </w:r>
    </w:p>
    <w:p w14:paraId="2905ABD7" w14:textId="49471EB4" w:rsid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The number of unique proteins identified with different numbers of sequenced peptides created an exponential curve (Fig. </w:t>
      </w:r>
      <w:r w:rsidR="005E6037">
        <w:rPr>
          <w:rFonts w:ascii="Times" w:hAnsi="Times" w:cs="Sabon"/>
          <w:color w:val="000000"/>
        </w:rPr>
        <w:t>II.</w:t>
      </w:r>
      <w:r w:rsidRPr="00326AC2">
        <w:rPr>
          <w:rFonts w:ascii="Times" w:hAnsi="Times" w:cs="Sabon"/>
          <w:color w:val="000000"/>
        </w:rPr>
        <w:t xml:space="preserve">4). </w:t>
      </w:r>
      <w:proofErr w:type="gramStart"/>
      <w:r w:rsidRPr="00326AC2">
        <w:rPr>
          <w:rFonts w:ascii="Times" w:hAnsi="Times" w:cs="Sabon"/>
          <w:color w:val="000000"/>
        </w:rPr>
        <w:t>The</w:t>
      </w:r>
      <w:proofErr w:type="gramEnd"/>
      <w:r w:rsidRPr="00326AC2">
        <w:rPr>
          <w:rFonts w:ascii="Times" w:hAnsi="Times" w:cs="Sabon"/>
          <w:color w:val="000000"/>
        </w:rPr>
        <w:t xml:space="preserve"> plateau began around 30 000–40 000 sequenced peptides, with a total of 2400–2516 unique peptides identi</w:t>
      </w:r>
      <w:r w:rsidRPr="00326AC2">
        <w:rPr>
          <w:rFonts w:ascii="Times" w:hAnsi="Times" w:cs="Sabon"/>
          <w:color w:val="000000"/>
        </w:rPr>
        <w:softHyphen/>
        <w:t>fied. New unique peptides were still identified in larger sam</w:t>
      </w:r>
      <w:r w:rsidRPr="00326AC2">
        <w:rPr>
          <w:rFonts w:ascii="Times" w:hAnsi="Times" w:cs="Sabon"/>
          <w:color w:val="000000"/>
        </w:rPr>
        <w:softHyphen/>
        <w:t>ple sizes of peptides, but the return per sequenced peptide diminished.</w:t>
      </w:r>
    </w:p>
    <w:p w14:paraId="13D0B484" w14:textId="39AADC97" w:rsidR="0070002F" w:rsidRDefault="0070002F" w:rsidP="0070002F">
      <w:pPr>
        <w:rPr>
          <w:rFonts w:ascii="Times" w:hAnsi="Times"/>
        </w:rPr>
      </w:pPr>
      <w:r>
        <w:rPr>
          <w:rFonts w:ascii="Times" w:hAnsi="Times"/>
          <w:noProof/>
          <w:lang w:eastAsia="en-US"/>
        </w:rPr>
        <w:drawing>
          <wp:inline distT="0" distB="0" distL="0" distR="0" wp14:anchorId="6ADD4D4B" wp14:editId="21C8B493">
            <wp:extent cx="3998595" cy="39985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0">
                      <a:extLst>
                        <a:ext uri="{28A0092B-C50C-407E-A947-70E740481C1C}">
                          <a14:useLocalDpi xmlns:a14="http://schemas.microsoft.com/office/drawing/2010/main" val="0"/>
                        </a:ext>
                      </a:extLst>
                    </a:blip>
                    <a:stretch>
                      <a:fillRect/>
                    </a:stretch>
                  </pic:blipFill>
                  <pic:spPr>
                    <a:xfrm>
                      <a:off x="0" y="0"/>
                      <a:ext cx="3998595" cy="3998595"/>
                    </a:xfrm>
                    <a:prstGeom prst="rect">
                      <a:avLst/>
                    </a:prstGeom>
                  </pic:spPr>
                </pic:pic>
              </a:graphicData>
            </a:graphic>
          </wp:inline>
        </w:drawing>
      </w:r>
    </w:p>
    <w:p w14:paraId="3B8312A3" w14:textId="05C5FCB8" w:rsidR="0070002F" w:rsidRPr="00326AC2" w:rsidRDefault="0070002F" w:rsidP="0070002F">
      <w:pPr>
        <w:rPr>
          <w:rFonts w:ascii="Times" w:hAnsi="Times"/>
        </w:rPr>
      </w:pPr>
      <w:r>
        <w:rPr>
          <w:rFonts w:ascii="Times" w:hAnsi="Times"/>
        </w:rPr>
        <w:t xml:space="preserve">Figure </w:t>
      </w:r>
      <w:r w:rsidR="00426D9F">
        <w:rPr>
          <w:rFonts w:ascii="Times" w:hAnsi="Times"/>
        </w:rPr>
        <w:t>II.</w:t>
      </w:r>
      <w:r>
        <w:rPr>
          <w:rFonts w:ascii="Times" w:hAnsi="Times"/>
        </w:rPr>
        <w:t>4. Predicted number of unique proteins that would be identified based on a sequential increase in peptide sequences.</w:t>
      </w:r>
    </w:p>
    <w:p w14:paraId="017F4B4A" w14:textId="77777777" w:rsidR="00C02D9B" w:rsidRDefault="00C02D9B" w:rsidP="00C02D9B">
      <w:pPr>
        <w:pStyle w:val="Heading2"/>
      </w:pPr>
      <w:bookmarkStart w:id="39" w:name="_Toc252110003"/>
      <w:r>
        <w:t>Discussion</w:t>
      </w:r>
      <w:bookmarkEnd w:id="39"/>
    </w:p>
    <w:p w14:paraId="0F2D6660" w14:textId="77777777" w:rsidR="00C85C10" w:rsidRPr="00C85C10" w:rsidRDefault="00C85C10" w:rsidP="00C85C10"/>
    <w:p w14:paraId="17BBAFE0" w14:textId="4F9F29CD" w:rsidR="00326AC2" w:rsidRPr="00173404" w:rsidRDefault="00326AC2" w:rsidP="00426D9F">
      <w:pPr>
        <w:pStyle w:val="Pa13"/>
        <w:spacing w:before="60" w:after="60" w:line="360" w:lineRule="auto"/>
        <w:ind w:firstLine="720"/>
        <w:jc w:val="both"/>
        <w:rPr>
          <w:rFonts w:ascii="Times" w:hAnsi="Times" w:cs="Sabon"/>
          <w:color w:val="000000"/>
        </w:rPr>
      </w:pPr>
      <w:r w:rsidRPr="00173404">
        <w:rPr>
          <w:rFonts w:ascii="Times" w:hAnsi="Times" w:cs="Sabon"/>
          <w:color w:val="000000"/>
        </w:rPr>
        <w:t>Technical and analytical challenges have resulted in limited focus on quantitative proteomics approaches in environmen</w:t>
      </w:r>
      <w:r w:rsidRPr="00173404">
        <w:rPr>
          <w:rFonts w:ascii="Times" w:hAnsi="Times" w:cs="Sabon"/>
          <w:color w:val="000000"/>
        </w:rPr>
        <w:softHyphen/>
        <w:t xml:space="preserve">tal physiology. Given the recent technological advances in the proteomics field (Yates </w:t>
      </w:r>
      <w:r w:rsidRPr="00173404">
        <w:rPr>
          <w:rFonts w:ascii="Times" w:hAnsi="Times" w:cs="Sabon"/>
          <w:i/>
          <w:iCs/>
          <w:color w:val="000000"/>
        </w:rPr>
        <w:t>et al.</w:t>
      </w:r>
      <w:r w:rsidRPr="00173404">
        <w:rPr>
          <w:rFonts w:ascii="Times" w:hAnsi="Times" w:cs="Sabon"/>
          <w:color w:val="000000"/>
        </w:rPr>
        <w:t xml:space="preserve">, 2009) and release of the Pacific oyster genome (Zhang </w:t>
      </w:r>
      <w:r w:rsidRPr="00173404">
        <w:rPr>
          <w:rFonts w:ascii="Times" w:hAnsi="Times" w:cs="Sabon"/>
          <w:i/>
          <w:iCs/>
          <w:color w:val="000000"/>
        </w:rPr>
        <w:t>et al.</w:t>
      </w:r>
      <w:r w:rsidRPr="00173404">
        <w:rPr>
          <w:rFonts w:ascii="Times" w:hAnsi="Times" w:cs="Sabon"/>
          <w:color w:val="000000"/>
        </w:rPr>
        <w:t>, 2012), we set out to assess the practical use of quantitative proteomics in this model species. For all biological samples, a majority of the proteins identi</w:t>
      </w:r>
      <w:r w:rsidRPr="00173404">
        <w:rPr>
          <w:rFonts w:ascii="Times" w:hAnsi="Times" w:cs="Sabon"/>
          <w:color w:val="000000"/>
        </w:rPr>
        <w:softHyphen/>
        <w:t>fied (54–55%) were present in all respective technical repli</w:t>
      </w:r>
      <w:r w:rsidRPr="00173404">
        <w:rPr>
          <w:rFonts w:ascii="Times" w:hAnsi="Times" w:cs="Sabon"/>
          <w:color w:val="000000"/>
        </w:rPr>
        <w:softHyphen/>
        <w:t xml:space="preserve">cates. Relative expression across technical and biological replicates was also consistent (Fig. </w:t>
      </w:r>
      <w:proofErr w:type="gramStart"/>
      <w:r w:rsidR="005E6037">
        <w:rPr>
          <w:rFonts w:ascii="Times" w:hAnsi="Times" w:cs="Sabon"/>
          <w:color w:val="000000"/>
        </w:rPr>
        <w:t>II.</w:t>
      </w:r>
      <w:r w:rsidRPr="00173404">
        <w:rPr>
          <w:rFonts w:ascii="Times" w:hAnsi="Times" w:cs="Sabon"/>
          <w:color w:val="000000"/>
        </w:rPr>
        <w:t xml:space="preserve">1, Supplementary Data </w:t>
      </w:r>
      <w:r w:rsidR="005E6037">
        <w:rPr>
          <w:rFonts w:ascii="Times" w:hAnsi="Times" w:cs="Sabon"/>
          <w:color w:val="000000"/>
        </w:rPr>
        <w:t>II.</w:t>
      </w:r>
      <w:r w:rsidRPr="00173404">
        <w:rPr>
          <w:rFonts w:ascii="Times" w:hAnsi="Times" w:cs="Sabon"/>
          <w:color w:val="000000"/>
        </w:rPr>
        <w:t>1).</w:t>
      </w:r>
      <w:proofErr w:type="gramEnd"/>
      <w:r w:rsidRPr="00173404">
        <w:rPr>
          <w:rFonts w:ascii="Times" w:hAnsi="Times" w:cs="Sabon"/>
          <w:color w:val="000000"/>
        </w:rPr>
        <w:t xml:space="preserve"> However, there were some proteins not identified in all tech</w:t>
      </w:r>
      <w:r w:rsidRPr="00173404">
        <w:rPr>
          <w:rFonts w:ascii="Times" w:hAnsi="Times" w:cs="Sabon"/>
          <w:color w:val="000000"/>
        </w:rPr>
        <w:softHyphen/>
        <w:t>nical replicates. Thus, proteins with limited expression might not be detected and/or expression levels might not be reflected accurately. It should be noted that the inclusion of proteins in our analysis is highly dependent on threshold selection. In the present study, a protein was included only if it had two unique spectral hits within a replicate and had four total spectra across the combined technical replicate data. If the threshold were adjusted to be more conservative (i.e. a greater total spectral count threshold), variability would be reduced. With a total spectral count threshold of five, 983 proteins are identified and 56–57% of the proteins are in all three techni</w:t>
      </w:r>
      <w:r w:rsidRPr="00173404">
        <w:rPr>
          <w:rFonts w:ascii="Times" w:hAnsi="Times" w:cs="Sabon"/>
          <w:color w:val="000000"/>
        </w:rPr>
        <w:softHyphen/>
        <w:t>cal replicates; with a threshold of 10, 845 proteins are identi</w:t>
      </w:r>
      <w:r w:rsidRPr="00173404">
        <w:rPr>
          <w:rFonts w:ascii="Times" w:hAnsi="Times" w:cs="Sabon"/>
          <w:color w:val="000000"/>
        </w:rPr>
        <w:softHyphen/>
        <w:t xml:space="preserve">fied and 61–63% of the proteins are in all technical replicates (data not shown). </w:t>
      </w:r>
    </w:p>
    <w:p w14:paraId="74AEE8EA" w14:textId="28137C09" w:rsidR="00326AC2" w:rsidRPr="00173404" w:rsidRDefault="00326AC2" w:rsidP="00426D9F">
      <w:pPr>
        <w:pStyle w:val="Pa16"/>
        <w:spacing w:before="60" w:after="60" w:line="360" w:lineRule="auto"/>
        <w:ind w:firstLine="720"/>
        <w:jc w:val="both"/>
        <w:rPr>
          <w:rFonts w:ascii="Times" w:hAnsi="Times" w:cs="Sabon"/>
          <w:color w:val="000000"/>
        </w:rPr>
      </w:pPr>
      <w:r w:rsidRPr="00173404">
        <w:rPr>
          <w:rFonts w:ascii="Times" w:hAnsi="Times" w:cs="Sabon"/>
          <w:color w:val="000000"/>
        </w:rPr>
        <w:t>The number of proteins identified and subsequently anno</w:t>
      </w:r>
      <w:r w:rsidRPr="00173404">
        <w:rPr>
          <w:rFonts w:ascii="Times" w:hAnsi="Times" w:cs="Sabon"/>
          <w:color w:val="000000"/>
        </w:rPr>
        <w:softHyphen/>
        <w:t>tated can vary tremendously based on experimental design, target tissue, match thresholds, and genomic resources avail</w:t>
      </w:r>
      <w:r w:rsidRPr="00173404">
        <w:rPr>
          <w:rFonts w:ascii="Times" w:hAnsi="Times" w:cs="Sabon"/>
          <w:color w:val="000000"/>
        </w:rPr>
        <w:softHyphen/>
        <w:t xml:space="preserve">able. In the present study, the majority of the proteins (703) were identified in all biological samples. Based on </w:t>
      </w:r>
      <w:r w:rsidRPr="00173404">
        <w:rPr>
          <w:rFonts w:ascii="Times" w:hAnsi="Times" w:cs="Sabon"/>
          <w:i/>
          <w:iCs/>
          <w:color w:val="000000"/>
        </w:rPr>
        <w:t xml:space="preserve">in silico </w:t>
      </w:r>
      <w:r w:rsidRPr="00173404">
        <w:rPr>
          <w:rFonts w:ascii="Times" w:hAnsi="Times" w:cs="Sabon"/>
          <w:color w:val="000000"/>
        </w:rPr>
        <w:t xml:space="preserve">analysis (Fig. </w:t>
      </w:r>
      <w:r w:rsidR="005E6037">
        <w:rPr>
          <w:rFonts w:ascii="Times" w:hAnsi="Times" w:cs="Sabon"/>
          <w:color w:val="000000"/>
        </w:rPr>
        <w:t>II.</w:t>
      </w:r>
      <w:r w:rsidRPr="00173404">
        <w:rPr>
          <w:rFonts w:ascii="Times" w:hAnsi="Times" w:cs="Sabon"/>
          <w:color w:val="000000"/>
        </w:rPr>
        <w:t>4), we have sequenced a relatively complete proteome for oyster gill tissue. In a study of European white</w:t>
      </w:r>
      <w:r w:rsidRPr="00173404">
        <w:rPr>
          <w:rFonts w:ascii="Times" w:hAnsi="Times" w:cs="Sabon"/>
          <w:color w:val="000000"/>
        </w:rPr>
        <w:softHyphen/>
        <w:t xml:space="preserve">fish, </w:t>
      </w:r>
      <w:r w:rsidRPr="00173404">
        <w:rPr>
          <w:rFonts w:ascii="Times" w:hAnsi="Times" w:cs="Sabon"/>
          <w:i/>
          <w:iCs/>
          <w:color w:val="000000"/>
        </w:rPr>
        <w:t>Coregonus lavaretus</w:t>
      </w:r>
      <w:r w:rsidRPr="00173404">
        <w:rPr>
          <w:rFonts w:ascii="Times" w:hAnsi="Times" w:cs="Sabon"/>
          <w:color w:val="000000"/>
        </w:rPr>
        <w:t xml:space="preserve">, proteomics on fish larvae yielded sequencing of peptides corresponding to 1500 proteins (Papakostas </w:t>
      </w:r>
      <w:r w:rsidRPr="00173404">
        <w:rPr>
          <w:rFonts w:ascii="Times" w:hAnsi="Times" w:cs="Sabon"/>
          <w:i/>
          <w:iCs/>
          <w:color w:val="000000"/>
        </w:rPr>
        <w:t>et al.</w:t>
      </w:r>
      <w:r w:rsidRPr="00173404">
        <w:rPr>
          <w:rFonts w:ascii="Times" w:hAnsi="Times" w:cs="Sabon"/>
          <w:color w:val="000000"/>
        </w:rPr>
        <w:t>, 2012). The similar number of protein identifications in whitefish compared with our study (1043) is likely to be associated with the tissue complexity. In the whitefish study, whole body tissue was examined. In a meta</w:t>
      </w:r>
      <w:r w:rsidRPr="00173404">
        <w:rPr>
          <w:rFonts w:ascii="Times" w:hAnsi="Times" w:cs="Sabon"/>
          <w:color w:val="000000"/>
        </w:rPr>
        <w:softHyphen/>
        <w:t xml:space="preserve">proteomics study of marine microbes, 2273 distinct proteins were identified across 10 samples (Morris </w:t>
      </w:r>
      <w:r w:rsidRPr="00173404">
        <w:rPr>
          <w:rFonts w:ascii="Times" w:hAnsi="Times" w:cs="Sabon"/>
          <w:i/>
          <w:iCs/>
          <w:color w:val="000000"/>
        </w:rPr>
        <w:t>et al.</w:t>
      </w:r>
      <w:r w:rsidRPr="00173404">
        <w:rPr>
          <w:rFonts w:ascii="Times" w:hAnsi="Times" w:cs="Sabon"/>
          <w:color w:val="000000"/>
        </w:rPr>
        <w:t xml:space="preserve">, 2010). The large number of proteins identified by Morris </w:t>
      </w:r>
      <w:r w:rsidRPr="00173404">
        <w:rPr>
          <w:rFonts w:ascii="Times" w:hAnsi="Times" w:cs="Sabon"/>
          <w:i/>
          <w:iCs/>
          <w:color w:val="000000"/>
        </w:rPr>
        <w:t xml:space="preserve">et al. </w:t>
      </w:r>
      <w:r w:rsidRPr="00173404">
        <w:rPr>
          <w:rFonts w:ascii="Times" w:hAnsi="Times" w:cs="Sabon"/>
          <w:color w:val="000000"/>
        </w:rPr>
        <w:t>(2010) is evidence of the large number of organisms and ecological niches that were sampled in their study. Previous proteomics studies on Sydney rock oyster haemolymph have found rela</w:t>
      </w:r>
      <w:r w:rsidRPr="00173404">
        <w:rPr>
          <w:rFonts w:ascii="Times" w:hAnsi="Times" w:cs="Sabon"/>
          <w:color w:val="000000"/>
        </w:rPr>
        <w:softHyphen/>
        <w:t xml:space="preserve">tively few proteins compared with the present study in gill tissue, with the number of identified proteins ranging from 49 to 514 (Simonian </w:t>
      </w:r>
      <w:r w:rsidRPr="00173404">
        <w:rPr>
          <w:rFonts w:ascii="Times" w:hAnsi="Times" w:cs="Sabon"/>
          <w:i/>
          <w:iCs/>
          <w:color w:val="000000"/>
        </w:rPr>
        <w:t>et al.</w:t>
      </w:r>
      <w:r w:rsidRPr="00173404">
        <w:rPr>
          <w:rFonts w:ascii="Times" w:hAnsi="Times" w:cs="Sabon"/>
          <w:color w:val="000000"/>
        </w:rPr>
        <w:t xml:space="preserve">, 2009; Thompson </w:t>
      </w:r>
      <w:r w:rsidRPr="00173404">
        <w:rPr>
          <w:rFonts w:ascii="Times" w:hAnsi="Times" w:cs="Sabon"/>
          <w:i/>
          <w:iCs/>
          <w:color w:val="000000"/>
        </w:rPr>
        <w:t>et al.</w:t>
      </w:r>
      <w:r w:rsidRPr="00173404">
        <w:rPr>
          <w:rFonts w:ascii="Times" w:hAnsi="Times" w:cs="Sabon"/>
          <w:color w:val="000000"/>
        </w:rPr>
        <w:t xml:space="preserve">, 2011, 2012a, 2012b; Muralidharan </w:t>
      </w:r>
      <w:r w:rsidRPr="00173404">
        <w:rPr>
          <w:rFonts w:ascii="Times" w:hAnsi="Times" w:cs="Sabon"/>
          <w:i/>
          <w:iCs/>
          <w:color w:val="000000"/>
        </w:rPr>
        <w:t>et al.</w:t>
      </w:r>
      <w:r w:rsidRPr="00173404">
        <w:rPr>
          <w:rFonts w:ascii="Times" w:hAnsi="Times" w:cs="Sabon"/>
          <w:color w:val="000000"/>
        </w:rPr>
        <w:t xml:space="preserve">, 2012). The identification of fewer proteins in haemolymph is probably because there are fewer cell types present in haemolymph compared with the gill. </w:t>
      </w:r>
    </w:p>
    <w:p w14:paraId="43F7D9DE" w14:textId="0E8A2197" w:rsidR="00326AC2" w:rsidRPr="00173404" w:rsidRDefault="00326AC2" w:rsidP="00426D9F">
      <w:pPr>
        <w:pStyle w:val="Default"/>
        <w:spacing w:before="220" w:after="60" w:line="360" w:lineRule="auto"/>
        <w:ind w:firstLine="720"/>
        <w:jc w:val="both"/>
        <w:rPr>
          <w:rFonts w:ascii="Times" w:hAnsi="Times" w:cs="Sabon"/>
        </w:rPr>
      </w:pPr>
      <w:r w:rsidRPr="00173404">
        <w:rPr>
          <w:rFonts w:ascii="Times" w:hAnsi="Times"/>
        </w:rPr>
        <w:t>In addition to assessing the feasibility of shotgun pro</w:t>
      </w:r>
      <w:r w:rsidRPr="00173404">
        <w:rPr>
          <w:rFonts w:ascii="Times" w:hAnsi="Times"/>
        </w:rPr>
        <w:softHyphen/>
        <w:t>teomics in the Pacific oyster, we were also able to provide a functional characterization of the gill proteome. Gene ontol</w:t>
      </w:r>
      <w:r w:rsidRPr="00173404">
        <w:rPr>
          <w:rFonts w:ascii="Times" w:hAnsi="Times"/>
        </w:rPr>
        <w:softHyphen/>
        <w:t>ogy characterization identified a majority of proteins associ</w:t>
      </w:r>
      <w:r w:rsidRPr="00173404">
        <w:rPr>
          <w:rFonts w:ascii="Times" w:hAnsi="Times"/>
        </w:rPr>
        <w:softHyphen/>
        <w:t xml:space="preserve">ated with protein metabolism, cell organization and biogenesis, and transport (Fig. </w:t>
      </w:r>
      <w:r w:rsidR="005E6037">
        <w:rPr>
          <w:rFonts w:ascii="Times" w:hAnsi="Times"/>
        </w:rPr>
        <w:t>II.</w:t>
      </w:r>
      <w:r w:rsidRPr="00173404">
        <w:rPr>
          <w:rFonts w:ascii="Times" w:hAnsi="Times"/>
        </w:rPr>
        <w:t xml:space="preserve">3). These biological functions would be expected, because gill tissue is the primary interface between the oyster and the environment (water), where the tissue’s major functions include ion regulation, respiration, </w:t>
      </w:r>
      <w:r w:rsidRPr="00173404">
        <w:rPr>
          <w:rFonts w:ascii="Times" w:hAnsi="Times" w:cs="Sabon"/>
        </w:rPr>
        <w:t xml:space="preserve">and sorting of food particles. The high number of proteins involved in these GO categories is not necessarily unique to gill tissue but is likely to reflect the multifunctional nature of a tissue that responds to variable environments. </w:t>
      </w:r>
    </w:p>
    <w:p w14:paraId="166DE601" w14:textId="3159115A" w:rsidR="00326AC2" w:rsidRPr="00173404" w:rsidRDefault="00326AC2" w:rsidP="00426D9F">
      <w:pPr>
        <w:widowControl w:val="0"/>
        <w:autoSpaceDE w:val="0"/>
        <w:autoSpaceDN w:val="0"/>
        <w:adjustRightInd w:val="0"/>
        <w:spacing w:before="60" w:after="60" w:line="360" w:lineRule="auto"/>
        <w:ind w:firstLine="720"/>
        <w:jc w:val="both"/>
        <w:rPr>
          <w:rFonts w:ascii="Times" w:hAnsi="Times" w:cs="Sabon"/>
          <w:color w:val="000000"/>
        </w:rPr>
      </w:pPr>
      <w:r w:rsidRPr="00173404">
        <w:rPr>
          <w:rFonts w:ascii="Times" w:hAnsi="Times" w:cs="Sabon"/>
          <w:color w:val="000000"/>
        </w:rPr>
        <w:t>Enrichment analysis was performed to identify which functional groups of proteins expressed in gill tissue were over-represented in</w:t>
      </w:r>
      <w:r w:rsidR="0070002F">
        <w:rPr>
          <w:rFonts w:ascii="Times" w:hAnsi="Times" w:cs="Sabon"/>
          <w:color w:val="000000"/>
        </w:rPr>
        <w:t xml:space="preserve"> </w:t>
      </w:r>
      <w:r w:rsidRPr="00173404">
        <w:rPr>
          <w:rFonts w:ascii="Times" w:hAnsi="Times" w:cs="Sabon"/>
          <w:color w:val="000000"/>
        </w:rPr>
        <w:t>comparison to the complete protein reper</w:t>
      </w:r>
      <w:r w:rsidRPr="00173404">
        <w:rPr>
          <w:rFonts w:ascii="Times" w:hAnsi="Times" w:cs="Sabon"/>
          <w:color w:val="000000"/>
        </w:rPr>
        <w:softHyphen/>
        <w:t>toire. Several of the functional groups identified were associ</w:t>
      </w:r>
      <w:r w:rsidRPr="00173404">
        <w:rPr>
          <w:rFonts w:ascii="Times" w:hAnsi="Times" w:cs="Sabon"/>
          <w:color w:val="000000"/>
        </w:rPr>
        <w:softHyphen/>
        <w:t>ated with the abundant proteins involved in metabolism and transport, as well as cellular structure. These enrichment analysis findings are consistent with a previous transcrip</w:t>
      </w:r>
      <w:r w:rsidRPr="00173404">
        <w:rPr>
          <w:rFonts w:ascii="Times" w:hAnsi="Times" w:cs="Sabon"/>
          <w:color w:val="000000"/>
        </w:rPr>
        <w:softHyphen/>
        <w:t xml:space="preserve">tomic comparison between </w:t>
      </w:r>
      <w:r w:rsidRPr="00173404">
        <w:rPr>
          <w:rFonts w:ascii="Times" w:hAnsi="Times" w:cs="Sabon"/>
          <w:i/>
          <w:iCs/>
          <w:color w:val="000000"/>
        </w:rPr>
        <w:t xml:space="preserve">C. gigas </w:t>
      </w:r>
      <w:r w:rsidRPr="00173404">
        <w:rPr>
          <w:rFonts w:ascii="Times" w:hAnsi="Times" w:cs="Sabon"/>
          <w:color w:val="000000"/>
        </w:rPr>
        <w:t>gill tissue and other tis</w:t>
      </w:r>
      <w:r w:rsidRPr="00173404">
        <w:rPr>
          <w:rFonts w:ascii="Times" w:hAnsi="Times" w:cs="Sabon"/>
          <w:color w:val="000000"/>
        </w:rPr>
        <w:softHyphen/>
        <w:t xml:space="preserve">sues, with genes predominantly expressed in the gill being involved in epithelia morphogenesis, cilia movement, and detoxification and defense (Dheilly </w:t>
      </w:r>
      <w:r w:rsidRPr="00173404">
        <w:rPr>
          <w:rFonts w:ascii="Times" w:hAnsi="Times" w:cs="Sabon"/>
          <w:i/>
          <w:iCs/>
          <w:color w:val="000000"/>
        </w:rPr>
        <w:t>et al.</w:t>
      </w:r>
      <w:r w:rsidRPr="00173404">
        <w:rPr>
          <w:rFonts w:ascii="Times" w:hAnsi="Times" w:cs="Sabon"/>
          <w:color w:val="000000"/>
        </w:rPr>
        <w:t>, 2011). Some of the cytoskeletal proteins identified in gill were tektin-3, microtu</w:t>
      </w:r>
      <w:r w:rsidRPr="00173404">
        <w:rPr>
          <w:rFonts w:ascii="Times" w:hAnsi="Times" w:cs="Sabon"/>
          <w:color w:val="000000"/>
        </w:rPr>
        <w:softHyphen/>
        <w:t>bule-associated protein futsch, and actin. Tektin is part of cilia and flagellar microtubules and has been found to change expression in response to an elevated partial pressure of CO</w:t>
      </w:r>
      <w:r w:rsidRPr="0070002F">
        <w:rPr>
          <w:rFonts w:ascii="Times" w:hAnsi="Times" w:cs="Sabon"/>
          <w:color w:val="000000"/>
          <w:vertAlign w:val="subscript"/>
        </w:rPr>
        <w:t>2</w:t>
      </w:r>
      <w:r w:rsidRPr="00173404">
        <w:rPr>
          <w:rFonts w:ascii="Times" w:hAnsi="Times" w:cs="Sabon"/>
          <w:color w:val="000000"/>
        </w:rPr>
        <w:t xml:space="preserve"> (Dineshram </w:t>
      </w:r>
      <w:r w:rsidRPr="00173404">
        <w:rPr>
          <w:rFonts w:ascii="Times" w:hAnsi="Times" w:cs="Sabon"/>
          <w:i/>
          <w:iCs/>
          <w:color w:val="000000"/>
        </w:rPr>
        <w:t>et al.</w:t>
      </w:r>
      <w:r w:rsidRPr="00173404">
        <w:rPr>
          <w:rFonts w:ascii="Times" w:hAnsi="Times" w:cs="Sabon"/>
          <w:color w:val="000000"/>
        </w:rPr>
        <w:t xml:space="preserve">, 2013), and has also been identified in Sydney rock oyster haemolymph (Thompson </w:t>
      </w:r>
      <w:r w:rsidRPr="00173404">
        <w:rPr>
          <w:rFonts w:ascii="Times" w:hAnsi="Times" w:cs="Sabon"/>
          <w:i/>
          <w:iCs/>
          <w:color w:val="000000"/>
        </w:rPr>
        <w:t>et al.</w:t>
      </w:r>
      <w:r w:rsidRPr="00173404">
        <w:rPr>
          <w:rFonts w:ascii="Times" w:hAnsi="Times" w:cs="Sabon"/>
          <w:color w:val="000000"/>
        </w:rPr>
        <w:t>, 2012b). Transport proteins included ATP synthases and v-type proton ATP synthase. ATP synthase is a good marker of environmen</w:t>
      </w:r>
      <w:r w:rsidRPr="00173404">
        <w:rPr>
          <w:rFonts w:ascii="Times" w:hAnsi="Times" w:cs="Sabon"/>
          <w:color w:val="000000"/>
        </w:rPr>
        <w:softHyphen/>
        <w:t xml:space="preserve">tal stress in </w:t>
      </w:r>
      <w:r w:rsidRPr="00173404">
        <w:rPr>
          <w:rFonts w:ascii="Times" w:hAnsi="Times" w:cs="Sabon"/>
          <w:i/>
          <w:iCs/>
          <w:color w:val="000000"/>
        </w:rPr>
        <w:t>C. gigas</w:t>
      </w:r>
      <w:r w:rsidRPr="00173404">
        <w:rPr>
          <w:rFonts w:ascii="Times" w:hAnsi="Times" w:cs="Sabon"/>
          <w:color w:val="000000"/>
        </w:rPr>
        <w:t xml:space="preserve">, because its transcript expression is altered in response to hypoxia (David </w:t>
      </w:r>
      <w:r w:rsidRPr="00173404">
        <w:rPr>
          <w:rFonts w:ascii="Times" w:hAnsi="Times" w:cs="Sabon"/>
          <w:i/>
          <w:iCs/>
          <w:color w:val="000000"/>
        </w:rPr>
        <w:t>et al.</w:t>
      </w:r>
      <w:r w:rsidRPr="00173404">
        <w:rPr>
          <w:rFonts w:ascii="Times" w:hAnsi="Times" w:cs="Sabon"/>
          <w:color w:val="000000"/>
        </w:rPr>
        <w:t>, 2005) and pesti</w:t>
      </w:r>
      <w:r w:rsidRPr="00173404">
        <w:rPr>
          <w:rFonts w:ascii="Times" w:hAnsi="Times" w:cs="Sabon"/>
          <w:color w:val="000000"/>
        </w:rPr>
        <w:softHyphen/>
        <w:t xml:space="preserve">cide exposure (Tanguy </w:t>
      </w:r>
      <w:r w:rsidRPr="00173404">
        <w:rPr>
          <w:rFonts w:ascii="Times" w:hAnsi="Times" w:cs="Sabon"/>
          <w:i/>
          <w:iCs/>
          <w:color w:val="000000"/>
        </w:rPr>
        <w:t>et al.</w:t>
      </w:r>
      <w:r w:rsidRPr="00173404">
        <w:rPr>
          <w:rFonts w:ascii="Times" w:hAnsi="Times" w:cs="Sabon"/>
          <w:color w:val="000000"/>
        </w:rPr>
        <w:t>, 2005). The most significantly enriched biological process was generation of precursor metabolites and energy. Many of the proteins that contrib</w:t>
      </w:r>
      <w:r w:rsidRPr="00173404">
        <w:rPr>
          <w:rFonts w:ascii="Times" w:hAnsi="Times" w:cs="Sabon"/>
          <w:color w:val="000000"/>
        </w:rPr>
        <w:softHyphen/>
        <w:t xml:space="preserve">uted to the over-representation of this GO category in the gill tissue are involved in metabolic processes, such as 2-oxoglutarate dehydrogenase, dihydroplipoyllisin-residue acetyltransferase, glycogen phosphorylase, triose phosphate isomerase, and hexokinase. These enzymes are all involved in the breakdown of carbohydrates and other food inputs, and thus underline the important metabolic processes that occur in the gill. </w:t>
      </w:r>
    </w:p>
    <w:p w14:paraId="111D6B5D" w14:textId="77777777" w:rsidR="00326AC2" w:rsidRPr="00173404" w:rsidRDefault="00326AC2" w:rsidP="00426D9F">
      <w:pPr>
        <w:widowControl w:val="0"/>
        <w:autoSpaceDE w:val="0"/>
        <w:autoSpaceDN w:val="0"/>
        <w:adjustRightInd w:val="0"/>
        <w:spacing w:before="80" w:after="60" w:line="360" w:lineRule="auto"/>
        <w:ind w:firstLine="720"/>
        <w:jc w:val="both"/>
        <w:rPr>
          <w:rFonts w:ascii="Times" w:hAnsi="Times" w:cs="Sabon"/>
          <w:color w:val="000000"/>
        </w:rPr>
      </w:pPr>
      <w:r w:rsidRPr="00173404">
        <w:rPr>
          <w:rFonts w:ascii="Times" w:hAnsi="Times" w:cs="Sabon"/>
          <w:color w:val="000000"/>
        </w:rPr>
        <w:t>Proteins involved in oxygen metabolism and reactive oxy</w:t>
      </w:r>
      <w:r w:rsidRPr="00173404">
        <w:rPr>
          <w:rFonts w:ascii="Times" w:hAnsi="Times" w:cs="Sabon"/>
          <w:color w:val="000000"/>
        </w:rPr>
        <w:softHyphen/>
        <w:t>gen species defense were also enriched in gill tissue, providing further support for the importance of gill tissue in response to environmental change. Previous transcriptomics-based stud</w:t>
      </w:r>
      <w:r w:rsidRPr="00173404">
        <w:rPr>
          <w:rFonts w:ascii="Times" w:hAnsi="Times" w:cs="Sabon"/>
          <w:color w:val="000000"/>
        </w:rPr>
        <w:softHyphen/>
        <w:t xml:space="preserve">ies of oysters support that the oxidative stress response plays an important role in the gill tissue (e.g. David </w:t>
      </w:r>
      <w:r w:rsidRPr="00173404">
        <w:rPr>
          <w:rFonts w:ascii="Times" w:hAnsi="Times" w:cs="Sabon"/>
          <w:i/>
          <w:iCs/>
          <w:color w:val="000000"/>
        </w:rPr>
        <w:t>et al.</w:t>
      </w:r>
      <w:r w:rsidRPr="00173404">
        <w:rPr>
          <w:rFonts w:ascii="Times" w:hAnsi="Times" w:cs="Sabon"/>
          <w:color w:val="000000"/>
        </w:rPr>
        <w:t xml:space="preserve">, 2007; Fleury and Huvet, 2012). Genes and proteins responding to production of reactive oxygen species increase in oysters in many instances of environmental stress, such as exposure to contaminants (e.g. David </w:t>
      </w:r>
      <w:r w:rsidRPr="00173404">
        <w:rPr>
          <w:rFonts w:ascii="Times" w:hAnsi="Times" w:cs="Sabon"/>
          <w:i/>
          <w:iCs/>
          <w:color w:val="000000"/>
        </w:rPr>
        <w:t>et al.</w:t>
      </w:r>
      <w:r w:rsidRPr="00173404">
        <w:rPr>
          <w:rFonts w:ascii="Times" w:hAnsi="Times" w:cs="Sabon"/>
          <w:color w:val="000000"/>
        </w:rPr>
        <w:t xml:space="preserve">, 2007; Muralidharan et al., 2012), as well as exposure to ocean acidification (Tomanek </w:t>
      </w:r>
      <w:r w:rsidRPr="00173404">
        <w:rPr>
          <w:rFonts w:ascii="Times" w:hAnsi="Times" w:cs="Sabon"/>
          <w:i/>
          <w:iCs/>
          <w:color w:val="000000"/>
        </w:rPr>
        <w:t>et al.</w:t>
      </w:r>
      <w:r w:rsidRPr="00173404">
        <w:rPr>
          <w:rFonts w:ascii="Times" w:hAnsi="Times" w:cs="Sabon"/>
          <w:color w:val="000000"/>
        </w:rPr>
        <w:t xml:space="preserve">, 2011) and temperature stress (Meistertzheim </w:t>
      </w:r>
      <w:r w:rsidRPr="00173404">
        <w:rPr>
          <w:rFonts w:ascii="Times" w:hAnsi="Times" w:cs="Sabon"/>
          <w:i/>
          <w:iCs/>
          <w:color w:val="000000"/>
        </w:rPr>
        <w:t>et al.</w:t>
      </w:r>
      <w:r w:rsidRPr="00173404">
        <w:rPr>
          <w:rFonts w:ascii="Times" w:hAnsi="Times" w:cs="Sabon"/>
          <w:color w:val="000000"/>
        </w:rPr>
        <w:t>, 2007). Specific proteins that contribute to reactive oxygen species defense are enzymes instrumental in the physiological response to oxidative stress, such as the antioxidants super</w:t>
      </w:r>
      <w:r w:rsidRPr="00173404">
        <w:rPr>
          <w:rFonts w:ascii="Times" w:hAnsi="Times" w:cs="Sabon"/>
          <w:color w:val="000000"/>
        </w:rPr>
        <w:softHyphen/>
        <w:t xml:space="preserve">oxide dismutase, peroxiredoxin, and catalase. </w:t>
      </w:r>
    </w:p>
    <w:p w14:paraId="2FF2F52E" w14:textId="1B932381" w:rsidR="00326AC2" w:rsidRDefault="00326AC2" w:rsidP="00426D9F">
      <w:pPr>
        <w:spacing w:line="360" w:lineRule="auto"/>
        <w:ind w:firstLine="720"/>
        <w:jc w:val="both"/>
        <w:rPr>
          <w:rFonts w:ascii="Times" w:hAnsi="Times"/>
        </w:rPr>
      </w:pPr>
      <w:r w:rsidRPr="00173404">
        <w:rPr>
          <w:rFonts w:ascii="Times" w:hAnsi="Times" w:cs="Sabon"/>
          <w:color w:val="000000"/>
        </w:rPr>
        <w:t xml:space="preserve">The success of the shotgun sequencing effort was due in part to the recent publication of the </w:t>
      </w:r>
      <w:r w:rsidRPr="00173404">
        <w:rPr>
          <w:rFonts w:ascii="Times" w:hAnsi="Times" w:cs="Sabon"/>
          <w:i/>
          <w:iCs/>
          <w:color w:val="000000"/>
        </w:rPr>
        <w:t xml:space="preserve">C. gigas </w:t>
      </w:r>
      <w:r w:rsidRPr="00173404">
        <w:rPr>
          <w:rFonts w:ascii="Times" w:hAnsi="Times" w:cs="Sabon"/>
          <w:color w:val="000000"/>
        </w:rPr>
        <w:t>genome, emphasizing that the dissemination of genomic resources</w:t>
      </w:r>
      <w:r w:rsidR="00173404" w:rsidRPr="00173404">
        <w:rPr>
          <w:rFonts w:ascii="Times" w:hAnsi="Times" w:cs="Sabon"/>
          <w:color w:val="000000"/>
        </w:rPr>
        <w:t xml:space="preserve"> </w:t>
      </w:r>
      <w:r w:rsidR="00173404" w:rsidRPr="00173404">
        <w:rPr>
          <w:rFonts w:ascii="Times" w:hAnsi="Times"/>
        </w:rPr>
        <w:t>provides invaluable opportunities for advancement for the scientific community. The sharing of these large data sets, such as the genome and the gill proteome, will support further research into the effects of environmental changes on the oys</w:t>
      </w:r>
      <w:r w:rsidR="00173404" w:rsidRPr="00173404">
        <w:rPr>
          <w:rFonts w:ascii="Times" w:hAnsi="Times"/>
        </w:rPr>
        <w:softHyphen/>
        <w:t>ter in terms of both acclimatization and adaptation. The char</w:t>
      </w:r>
      <w:r w:rsidR="00173404" w:rsidRPr="00173404">
        <w:rPr>
          <w:rFonts w:ascii="Times" w:hAnsi="Times"/>
        </w:rPr>
        <w:softHyphen/>
        <w:t>acterization of the scope of acclimatization and adaptation are instrumental in understanding how the Pacific oyster, an ecologically and economically important species, can respond to climate change at the physiological and population levels. These research results demonstrate that shotgun sequencing of oyster gill tissue is a viable approach for biological discov</w:t>
      </w:r>
      <w:r w:rsidR="00173404" w:rsidRPr="00173404">
        <w:rPr>
          <w:rFonts w:ascii="Times" w:hAnsi="Times"/>
        </w:rPr>
        <w:softHyphen/>
        <w:t>ery and that it will be likely to play an important role in future studies on oyster physiology.</w:t>
      </w:r>
    </w:p>
    <w:p w14:paraId="533743BF" w14:textId="77777777" w:rsidR="00EB59F7" w:rsidRDefault="00EB59F7" w:rsidP="00EB59F7">
      <w:pPr>
        <w:spacing w:line="360" w:lineRule="auto"/>
        <w:jc w:val="both"/>
        <w:rPr>
          <w:rFonts w:ascii="Times" w:hAnsi="Times"/>
        </w:rPr>
      </w:pPr>
    </w:p>
    <w:p w14:paraId="0A2EE0F0" w14:textId="70ED1A07" w:rsidR="00EB59F7" w:rsidRDefault="00EB59F7" w:rsidP="009079FD">
      <w:pPr>
        <w:pStyle w:val="Heading2"/>
      </w:pPr>
      <w:bookmarkStart w:id="40" w:name="_Toc252110004"/>
      <w:r>
        <w:t>Supplementary Information</w:t>
      </w:r>
      <w:bookmarkEnd w:id="40"/>
    </w:p>
    <w:p w14:paraId="437815E7" w14:textId="41D07059" w:rsidR="00EB59F7" w:rsidRDefault="00EB59F7" w:rsidP="00EB59F7">
      <w:pPr>
        <w:spacing w:line="360" w:lineRule="auto"/>
        <w:jc w:val="both"/>
        <w:rPr>
          <w:rFonts w:ascii="Times" w:hAnsi="Times"/>
        </w:rPr>
      </w:pPr>
      <w:r>
        <w:rPr>
          <w:rFonts w:ascii="Times" w:hAnsi="Times"/>
        </w:rPr>
        <w:t xml:space="preserve">Supplementary information can be found in the online, published version of this article at </w:t>
      </w:r>
      <w:hyperlink r:id="rId21" w:history="1">
        <w:r w:rsidRPr="00FC7EE5">
          <w:rPr>
            <w:rStyle w:val="Hyperlink"/>
            <w:rFonts w:ascii="Times" w:hAnsi="Times"/>
          </w:rPr>
          <w:t>http://conphys.oxfordjournals.org/content/1/1/cot009/suppl/DC1</w:t>
        </w:r>
      </w:hyperlink>
    </w:p>
    <w:p w14:paraId="3F104A3F" w14:textId="4FC2C94D" w:rsidR="00EB59F7" w:rsidRDefault="00EB59F7" w:rsidP="00EB59F7">
      <w:pPr>
        <w:spacing w:line="360" w:lineRule="auto"/>
        <w:jc w:val="both"/>
        <w:rPr>
          <w:rFonts w:ascii="Times" w:hAnsi="Times"/>
        </w:rPr>
      </w:pPr>
      <w:r>
        <w:rPr>
          <w:rFonts w:ascii="Times" w:hAnsi="Times"/>
        </w:rPr>
        <w:t>Supplementary Data 1: Correlations of protein expression values between biological replicates.</w:t>
      </w:r>
    </w:p>
    <w:p w14:paraId="064CEA3D" w14:textId="75CD9648" w:rsidR="00EB59F7" w:rsidRDefault="0024555E" w:rsidP="00EB59F7">
      <w:pPr>
        <w:spacing w:line="360" w:lineRule="auto"/>
        <w:jc w:val="both"/>
        <w:rPr>
          <w:rFonts w:ascii="Times" w:hAnsi="Times"/>
        </w:rPr>
      </w:pPr>
      <w:r>
        <w:rPr>
          <w:rFonts w:ascii="Times" w:hAnsi="Times"/>
        </w:rPr>
        <w:t>Supplementary Data 2: SwissProt-KB/Uniprot Annotations and spectral counts across biological replicates for all 2 850 proteins identified.</w:t>
      </w:r>
    </w:p>
    <w:p w14:paraId="6B0B44AF" w14:textId="2A56E995" w:rsidR="0024555E" w:rsidRDefault="0024555E" w:rsidP="00EB59F7">
      <w:pPr>
        <w:spacing w:line="360" w:lineRule="auto"/>
        <w:jc w:val="both"/>
        <w:rPr>
          <w:rFonts w:ascii="Times" w:hAnsi="Times"/>
        </w:rPr>
      </w:pPr>
      <w:r>
        <w:rPr>
          <w:rFonts w:ascii="Times" w:hAnsi="Times"/>
        </w:rPr>
        <w:t>Supplementary Data 3: Protein identifications for each technical replicate, including protein probability scores, number of total and unique spectra, and peptide sequences.</w:t>
      </w:r>
    </w:p>
    <w:p w14:paraId="634BC448" w14:textId="6CB5DF1C" w:rsidR="0024555E" w:rsidRDefault="0024555E" w:rsidP="00EB59F7">
      <w:pPr>
        <w:spacing w:line="360" w:lineRule="auto"/>
        <w:jc w:val="both"/>
        <w:rPr>
          <w:rFonts w:ascii="Times" w:hAnsi="Times"/>
        </w:rPr>
      </w:pPr>
      <w:r>
        <w:rPr>
          <w:rFonts w:ascii="Times" w:hAnsi="Times"/>
        </w:rPr>
        <w:t>Supplementary Data 4: Normalized spectral abundance factors (NSAF) for each protein in each biological replicate.</w:t>
      </w:r>
    </w:p>
    <w:p w14:paraId="183D3706" w14:textId="7F74B2C6" w:rsidR="0024555E" w:rsidRPr="00173404" w:rsidRDefault="0024555E" w:rsidP="00EB59F7">
      <w:pPr>
        <w:spacing w:line="360" w:lineRule="auto"/>
        <w:jc w:val="both"/>
        <w:rPr>
          <w:rFonts w:ascii="Times" w:hAnsi="Times"/>
        </w:rPr>
      </w:pPr>
      <w:r>
        <w:rPr>
          <w:rFonts w:ascii="Times" w:hAnsi="Times"/>
        </w:rPr>
        <w:t>Supplementary Data 5: Gene Ontology (GO) annotations for each protein.</w:t>
      </w:r>
    </w:p>
    <w:p w14:paraId="76C5CA6D" w14:textId="1CF3AB24" w:rsidR="00173404" w:rsidRDefault="00173404" w:rsidP="00173404">
      <w:pPr>
        <w:pStyle w:val="Heading2"/>
      </w:pPr>
      <w:bookmarkStart w:id="41" w:name="_Toc252110005"/>
      <w:r>
        <w:t>Acknowledgements</w:t>
      </w:r>
      <w:bookmarkEnd w:id="41"/>
    </w:p>
    <w:p w14:paraId="565F0E0D" w14:textId="17AADC1F" w:rsidR="00173404" w:rsidRDefault="00173404" w:rsidP="00173404">
      <w:pPr>
        <w:rPr>
          <w:rFonts w:ascii="Times" w:hAnsi="Times" w:cs="Sabon"/>
          <w:color w:val="000000"/>
        </w:rPr>
      </w:pPr>
      <w:r w:rsidRPr="00173404">
        <w:rPr>
          <w:rFonts w:ascii="Times" w:hAnsi="Times" w:cs="Sabon"/>
          <w:color w:val="000000"/>
        </w:rPr>
        <w:t>We would like to thank Taylor Shellfish for donating the oys</w:t>
      </w:r>
      <w:r w:rsidRPr="00173404">
        <w:rPr>
          <w:rFonts w:ascii="Times" w:hAnsi="Times" w:cs="Sabon"/>
          <w:color w:val="000000"/>
        </w:rPr>
        <w:softHyphen/>
        <w:t>ters used for this study, Emily Carrington and Ken Sebens for providing laboratory space, and Ronen Elad who assisted with oyster care. Priska von Haller helped with experimental design for the LC-MS/MS and provided technical assistance. Jimmy Eng and Tahmina ‘Eva’ Jahan ran the database searches for protein identification. This work was supported by National Oceanographic and Atmospheric Administration Saltonstall-Kennedy Program (grant no. NA09NMF4270093).</w:t>
      </w:r>
    </w:p>
    <w:p w14:paraId="10CB4B1C" w14:textId="77777777" w:rsidR="00173404" w:rsidRDefault="00173404" w:rsidP="00173404">
      <w:pPr>
        <w:rPr>
          <w:rFonts w:ascii="Times" w:hAnsi="Times" w:cs="Sabon"/>
          <w:color w:val="000000"/>
        </w:rPr>
      </w:pPr>
    </w:p>
    <w:p w14:paraId="620D2D56" w14:textId="02A6DCAE" w:rsidR="00173404" w:rsidRDefault="00C85C10" w:rsidP="00173404">
      <w:pPr>
        <w:pStyle w:val="Heading2"/>
      </w:pPr>
      <w:bookmarkStart w:id="42" w:name="_Toc252110006"/>
      <w:r>
        <w:t>Works Cited</w:t>
      </w:r>
      <w:bookmarkEnd w:id="42"/>
    </w:p>
    <w:p w14:paraId="0EA39582"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Amaral V, Thompson EL, Bishop MJ, Raftos DA. (2012) The proteomes of Sydney rock oysters vary spatially according to exposure to acid sulfate runoff. </w:t>
      </w:r>
      <w:proofErr w:type="gramStart"/>
      <w:r w:rsidRPr="00732DA8">
        <w:rPr>
          <w:rFonts w:ascii="Times" w:hAnsi="Times"/>
          <w:sz w:val="24"/>
        </w:rPr>
        <w:t>Marine &amp; Freshwater Research.</w:t>
      </w:r>
      <w:proofErr w:type="gramEnd"/>
      <w:r w:rsidRPr="00732DA8">
        <w:rPr>
          <w:rFonts w:ascii="Times" w:hAnsi="Times"/>
          <w:sz w:val="24"/>
        </w:rPr>
        <w:t xml:space="preserve"> </w:t>
      </w:r>
      <w:proofErr w:type="gramStart"/>
      <w:r w:rsidRPr="00732DA8">
        <w:rPr>
          <w:rFonts w:ascii="Times" w:hAnsi="Times"/>
          <w:sz w:val="24"/>
        </w:rPr>
        <w:t>63: 361-369.</w:t>
      </w:r>
      <w:proofErr w:type="gramEnd"/>
    </w:p>
    <w:p w14:paraId="34AB5E6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Bräutigam A, Shrestha RP, Whitten D, Wilkerson CG, Carr KM, Froehlich JE, Weber APM. (2008) Low-coverage massively parallel pyrosequencing of cDNAs enables proteomics in non-model species: Comparison of a species-specific database generated by pyrosequencing with databases from related species for proteome analysis of pea chloroplast envelopes. </w:t>
      </w:r>
      <w:proofErr w:type="gramStart"/>
      <w:r w:rsidRPr="00732DA8">
        <w:rPr>
          <w:rFonts w:ascii="Times" w:hAnsi="Times"/>
          <w:sz w:val="24"/>
        </w:rPr>
        <w:t>Journal of Biotechnology Biotechnol.</w:t>
      </w:r>
      <w:proofErr w:type="gramEnd"/>
      <w:r w:rsidRPr="00732DA8">
        <w:rPr>
          <w:rFonts w:ascii="Times" w:hAnsi="Times"/>
          <w:sz w:val="24"/>
        </w:rPr>
        <w:t xml:space="preserve"> </w:t>
      </w:r>
      <w:proofErr w:type="gramStart"/>
      <w:r w:rsidRPr="00732DA8">
        <w:rPr>
          <w:rFonts w:ascii="Times" w:hAnsi="Times"/>
          <w:sz w:val="24"/>
        </w:rPr>
        <w:t>136: 44-53.</w:t>
      </w:r>
      <w:proofErr w:type="gramEnd"/>
    </w:p>
    <w:p w14:paraId="2D50E4B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Corporeau C, Vanderplancke G, Boulais M, Suquet M, Quéré C, Boudry P, Huvet A, Madec S. (2012) Proteomic identification of quality factors for oocytes in the Pacific oyster </w:t>
      </w:r>
      <w:r w:rsidRPr="00732DA8">
        <w:rPr>
          <w:rFonts w:ascii="Times" w:hAnsi="Times"/>
          <w:i/>
          <w:sz w:val="24"/>
        </w:rPr>
        <w:t>Crassostrea gigas</w:t>
      </w:r>
      <w:r w:rsidRPr="00732DA8">
        <w:rPr>
          <w:rFonts w:ascii="Times" w:hAnsi="Times"/>
          <w:sz w:val="24"/>
        </w:rPr>
        <w:t xml:space="preserve">. </w:t>
      </w:r>
      <w:proofErr w:type="gramStart"/>
      <w:r w:rsidRPr="00732DA8">
        <w:rPr>
          <w:rFonts w:ascii="Times" w:hAnsi="Times"/>
          <w:sz w:val="24"/>
        </w:rPr>
        <w:t>Journal of Proteomics.</w:t>
      </w:r>
      <w:proofErr w:type="gramEnd"/>
      <w:r w:rsidRPr="00732DA8">
        <w:rPr>
          <w:rFonts w:ascii="Times" w:hAnsi="Times"/>
          <w:sz w:val="24"/>
        </w:rPr>
        <w:t xml:space="preserve"> </w:t>
      </w:r>
      <w:proofErr w:type="gramStart"/>
      <w:r w:rsidRPr="00732DA8">
        <w:rPr>
          <w:rFonts w:ascii="Times" w:hAnsi="Times"/>
          <w:sz w:val="24"/>
        </w:rPr>
        <w:t>75: 5554-5563.</w:t>
      </w:r>
      <w:proofErr w:type="gramEnd"/>
    </w:p>
    <w:p w14:paraId="136317C6"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Pichavant K, Moraga D. (2005) Response of the Pacific oyster </w:t>
      </w:r>
      <w:r w:rsidRPr="00732DA8">
        <w:rPr>
          <w:rFonts w:ascii="Times" w:hAnsi="Times"/>
          <w:i/>
          <w:sz w:val="24"/>
        </w:rPr>
        <w:t xml:space="preserve">Crassostrea gigas </w:t>
      </w:r>
      <w:r w:rsidRPr="00732DA8">
        <w:rPr>
          <w:rFonts w:ascii="Times" w:hAnsi="Times"/>
          <w:sz w:val="24"/>
        </w:rPr>
        <w:t xml:space="preserve">to hypoxia exposure under experimental conditions. The FEBS Journal. </w:t>
      </w:r>
      <w:proofErr w:type="gramStart"/>
      <w:r w:rsidRPr="00732DA8">
        <w:rPr>
          <w:rFonts w:ascii="Times" w:hAnsi="Times"/>
          <w:sz w:val="24"/>
        </w:rPr>
        <w:t>272: 5635-5652.</w:t>
      </w:r>
      <w:proofErr w:type="gramEnd"/>
    </w:p>
    <w:p w14:paraId="5B93D1D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Moraga D. (2007) Peroxiredoxin 6 gene: A new physiological and genetic indicator of multiple environmental stress response in Pacific oyster </w:t>
      </w:r>
      <w:r w:rsidRPr="00732DA8">
        <w:rPr>
          <w:rFonts w:ascii="Times" w:hAnsi="Times"/>
          <w:i/>
          <w:sz w:val="24"/>
        </w:rPr>
        <w:t>Crassostrea gigas</w:t>
      </w:r>
      <w:r w:rsidRPr="00732DA8">
        <w:rPr>
          <w:rFonts w:ascii="Times" w:hAnsi="Times"/>
          <w:sz w:val="24"/>
        </w:rPr>
        <w:t xml:space="preserve">. Aquatic Toxicology. </w:t>
      </w:r>
      <w:proofErr w:type="gramStart"/>
      <w:r w:rsidRPr="00732DA8">
        <w:rPr>
          <w:rFonts w:ascii="Times" w:hAnsi="Times"/>
          <w:sz w:val="24"/>
        </w:rPr>
        <w:t>84: 389-398.</w:t>
      </w:r>
      <w:proofErr w:type="gramEnd"/>
    </w:p>
    <w:p w14:paraId="50E6B0F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Haynes PA, Raftos DA, Nair SV</w:t>
      </w:r>
      <w:r w:rsidRPr="00732DA8">
        <w:rPr>
          <w:rFonts w:ascii="Times" w:hAnsi="Times"/>
          <w:i/>
          <w:sz w:val="24"/>
        </w:rPr>
        <w:t xml:space="preserve">. </w:t>
      </w:r>
      <w:r w:rsidRPr="00732DA8">
        <w:rPr>
          <w:rFonts w:ascii="Times" w:hAnsi="Times"/>
          <w:sz w:val="24"/>
        </w:rPr>
        <w:t xml:space="preserve">(2012) Time course proteomic profiling of cellular repsonses to immunological challenge in the sea urchin, </w:t>
      </w:r>
      <w:r w:rsidRPr="00732DA8">
        <w:rPr>
          <w:rFonts w:ascii="Times" w:hAnsi="Times"/>
          <w:i/>
          <w:sz w:val="24"/>
        </w:rPr>
        <w:t>Heliocidaris erythrogramma</w:t>
      </w:r>
      <w:r w:rsidRPr="00732DA8">
        <w:rPr>
          <w:rFonts w:ascii="Times" w:hAnsi="Times"/>
          <w:sz w:val="24"/>
        </w:rPr>
        <w:t xml:space="preserve">. </w:t>
      </w:r>
      <w:proofErr w:type="gramStart"/>
      <w:r w:rsidRPr="00732DA8">
        <w:rPr>
          <w:rFonts w:ascii="Times" w:hAnsi="Times"/>
          <w:sz w:val="24"/>
        </w:rPr>
        <w:t>Developmental &amp; Comparative Immunology.</w:t>
      </w:r>
      <w:proofErr w:type="gramEnd"/>
      <w:r w:rsidRPr="00732DA8">
        <w:rPr>
          <w:rFonts w:ascii="Times" w:hAnsi="Times"/>
          <w:sz w:val="24"/>
        </w:rPr>
        <w:t xml:space="preserve"> </w:t>
      </w:r>
      <w:proofErr w:type="gramStart"/>
      <w:r w:rsidRPr="00732DA8">
        <w:rPr>
          <w:rFonts w:ascii="Times" w:hAnsi="Times"/>
          <w:sz w:val="24"/>
        </w:rPr>
        <w:t>37: 243-256.</w:t>
      </w:r>
      <w:proofErr w:type="gramEnd"/>
    </w:p>
    <w:p w14:paraId="3D20284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Lelong C, Huvet A, Favrel P</w:t>
      </w:r>
      <w:r w:rsidRPr="00732DA8">
        <w:rPr>
          <w:rFonts w:ascii="Times" w:hAnsi="Times"/>
          <w:i/>
          <w:sz w:val="24"/>
        </w:rPr>
        <w:t xml:space="preserve">. </w:t>
      </w:r>
      <w:r w:rsidRPr="00732DA8">
        <w:rPr>
          <w:rFonts w:ascii="Times" w:hAnsi="Times"/>
          <w:sz w:val="24"/>
        </w:rPr>
        <w:t>(2011) Development of a Pacific oyster (</w:t>
      </w:r>
      <w:r w:rsidRPr="00732DA8">
        <w:rPr>
          <w:rFonts w:ascii="Times" w:hAnsi="Times"/>
          <w:i/>
          <w:sz w:val="24"/>
        </w:rPr>
        <w:t>Crassostrea gigas</w:t>
      </w:r>
      <w:r w:rsidRPr="00732DA8">
        <w:rPr>
          <w:rFonts w:ascii="Times" w:hAnsi="Times"/>
          <w:sz w:val="24"/>
        </w:rPr>
        <w:t xml:space="preserve">) 31,918-feature microarray: identification of reference genes and tissue-enriched expression patterns. BMC Genomics. </w:t>
      </w:r>
      <w:proofErr w:type="gramStart"/>
      <w:r w:rsidRPr="00732DA8">
        <w:rPr>
          <w:rFonts w:ascii="Times" w:hAnsi="Times"/>
          <w:sz w:val="24"/>
        </w:rPr>
        <w:t>12: 468.</w:t>
      </w:r>
      <w:proofErr w:type="gramEnd"/>
    </w:p>
    <w:p w14:paraId="15B72F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Dheilly NM, Raftos DA, Haynes PA, Smith LC, Nair SV. </w:t>
      </w:r>
      <w:proofErr w:type="gramStart"/>
      <w:r w:rsidRPr="00732DA8">
        <w:rPr>
          <w:rFonts w:ascii="Times" w:hAnsi="Times"/>
          <w:sz w:val="24"/>
        </w:rPr>
        <w:t xml:space="preserve">(2013) Shotgun proteomics of coelomic fluid from the purple sea urchin, </w:t>
      </w:r>
      <w:r w:rsidRPr="00732DA8">
        <w:rPr>
          <w:rFonts w:ascii="Times" w:hAnsi="Times"/>
          <w:i/>
          <w:sz w:val="24"/>
        </w:rPr>
        <w:t>Strongylocentrotus purpuratus</w:t>
      </w:r>
      <w:r w:rsidRPr="00732DA8">
        <w:rPr>
          <w:rFonts w:ascii="Times" w:hAnsi="Times"/>
          <w:sz w:val="24"/>
        </w:rPr>
        <w:t>.</w:t>
      </w:r>
      <w:proofErr w:type="gramEnd"/>
      <w:r w:rsidRPr="00732DA8">
        <w:rPr>
          <w:rFonts w:ascii="Times" w:hAnsi="Times"/>
          <w:sz w:val="24"/>
        </w:rPr>
        <w:t xml:space="preserve"> </w:t>
      </w:r>
      <w:proofErr w:type="gramStart"/>
      <w:r w:rsidRPr="00732DA8">
        <w:rPr>
          <w:rFonts w:ascii="Times" w:hAnsi="Times"/>
          <w:sz w:val="24"/>
        </w:rPr>
        <w:t>Developmental &amp; Comparative Immunology.</w:t>
      </w:r>
      <w:proofErr w:type="gramEnd"/>
      <w:r w:rsidRPr="00732DA8">
        <w:rPr>
          <w:rFonts w:ascii="Times" w:hAnsi="Times"/>
          <w:sz w:val="24"/>
        </w:rPr>
        <w:t xml:space="preserve"> </w:t>
      </w:r>
      <w:proofErr w:type="gramStart"/>
      <w:r w:rsidRPr="00732DA8">
        <w:rPr>
          <w:rFonts w:ascii="Times" w:hAnsi="Times"/>
          <w:sz w:val="24"/>
        </w:rPr>
        <w:t>In press.</w:t>
      </w:r>
      <w:proofErr w:type="gramEnd"/>
    </w:p>
    <w:p w14:paraId="2F96A8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Thiyagarajan V, Lane A, Ziniu Y, Xiao S, Leung PTY. (2013) Elevated CO</w:t>
      </w:r>
      <w:r w:rsidRPr="00732DA8">
        <w:rPr>
          <w:rFonts w:ascii="Times" w:hAnsi="Times"/>
          <w:sz w:val="24"/>
          <w:vertAlign w:val="subscript"/>
        </w:rPr>
        <w:t>2</w:t>
      </w:r>
      <w:r w:rsidRPr="00732DA8">
        <w:rPr>
          <w:rFonts w:ascii="Times" w:hAnsi="Times"/>
          <w:sz w:val="24"/>
        </w:rPr>
        <w:t xml:space="preserve"> alters larval proteome and its phosphorylation status in the commercial oyster, </w:t>
      </w:r>
      <w:r w:rsidRPr="00732DA8">
        <w:rPr>
          <w:rFonts w:ascii="Times" w:hAnsi="Times"/>
          <w:i/>
          <w:sz w:val="24"/>
        </w:rPr>
        <w:t>Crassostrea hongkongensis</w:t>
      </w:r>
      <w:r w:rsidRPr="00732DA8">
        <w:rPr>
          <w:rFonts w:ascii="Times" w:hAnsi="Times"/>
          <w:sz w:val="24"/>
        </w:rPr>
        <w:t xml:space="preserve">. Marine Biology. </w:t>
      </w:r>
      <w:proofErr w:type="gramStart"/>
      <w:r w:rsidRPr="00732DA8">
        <w:rPr>
          <w:rFonts w:ascii="Times" w:hAnsi="Times"/>
          <w:sz w:val="24"/>
        </w:rPr>
        <w:t>In press.</w:t>
      </w:r>
      <w:proofErr w:type="gramEnd"/>
    </w:p>
    <w:p w14:paraId="41BBB50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Wong KKW, Xiao S, Yu Z, Qian PY, Thiyagarajan V</w:t>
      </w:r>
      <w:r w:rsidRPr="00732DA8">
        <w:rPr>
          <w:rFonts w:ascii="Times" w:hAnsi="Times"/>
          <w:i/>
          <w:sz w:val="24"/>
        </w:rPr>
        <w:t>.</w:t>
      </w:r>
      <w:r w:rsidRPr="00732DA8">
        <w:rPr>
          <w:rFonts w:ascii="Times" w:hAnsi="Times"/>
          <w:sz w:val="24"/>
        </w:rPr>
        <w:t xml:space="preserve"> (2012) Analysis of Pacific oyster larval proteome and its response to high-CO</w:t>
      </w:r>
      <w:r w:rsidRPr="00732DA8">
        <w:rPr>
          <w:rFonts w:ascii="Times" w:hAnsi="Times"/>
          <w:sz w:val="24"/>
          <w:vertAlign w:val="subscript"/>
        </w:rPr>
        <w:t>2</w:t>
      </w:r>
      <w:r w:rsidRPr="00732DA8">
        <w:rPr>
          <w:rFonts w:ascii="Times" w:hAnsi="Times"/>
          <w:sz w:val="24"/>
        </w:rPr>
        <w:t xml:space="preserve">. </w:t>
      </w:r>
      <w:proofErr w:type="gramStart"/>
      <w:r w:rsidRPr="00732DA8">
        <w:rPr>
          <w:rFonts w:ascii="Times" w:hAnsi="Times"/>
          <w:sz w:val="24"/>
        </w:rPr>
        <w:t>Marine Pollution Bulletin.</w:t>
      </w:r>
      <w:proofErr w:type="gramEnd"/>
      <w:r w:rsidRPr="00732DA8">
        <w:rPr>
          <w:rFonts w:ascii="Times" w:hAnsi="Times"/>
          <w:sz w:val="24"/>
        </w:rPr>
        <w:t xml:space="preserve"> </w:t>
      </w:r>
      <w:proofErr w:type="gramStart"/>
      <w:r w:rsidRPr="00732DA8">
        <w:rPr>
          <w:rFonts w:ascii="Times" w:hAnsi="Times"/>
          <w:sz w:val="24"/>
        </w:rPr>
        <w:t>64: 2160-2167.</w:t>
      </w:r>
      <w:proofErr w:type="gramEnd"/>
    </w:p>
    <w:p w14:paraId="591BACB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Eng JK, McCormack AL, Yates JR</w:t>
      </w:r>
      <w:r w:rsidRPr="00732DA8">
        <w:rPr>
          <w:rFonts w:ascii="Times" w:hAnsi="Times"/>
          <w:i/>
          <w:sz w:val="24"/>
        </w:rPr>
        <w:t>.</w:t>
      </w:r>
      <w:r w:rsidRPr="00732DA8">
        <w:rPr>
          <w:rFonts w:ascii="Times" w:hAnsi="Times"/>
          <w:sz w:val="24"/>
        </w:rPr>
        <w:t xml:space="preserve"> (1994) An Approach to Correlate Tandem Mass Spectral Data of Peptides with Amino Acid Sequences in a Protein Database. </w:t>
      </w:r>
      <w:proofErr w:type="gramStart"/>
      <w:r w:rsidRPr="00732DA8">
        <w:rPr>
          <w:rFonts w:ascii="Times" w:hAnsi="Times"/>
          <w:sz w:val="24"/>
        </w:rPr>
        <w:t>Journal of the American Society for Mass Spectrometry.</w:t>
      </w:r>
      <w:proofErr w:type="gramEnd"/>
      <w:r w:rsidRPr="00732DA8">
        <w:rPr>
          <w:rFonts w:ascii="Times" w:hAnsi="Times"/>
          <w:sz w:val="24"/>
        </w:rPr>
        <w:t xml:space="preserve"> </w:t>
      </w:r>
      <w:proofErr w:type="gramStart"/>
      <w:r w:rsidRPr="00732DA8">
        <w:rPr>
          <w:rFonts w:ascii="Times" w:hAnsi="Times"/>
          <w:sz w:val="24"/>
        </w:rPr>
        <w:t>5: 976-989.</w:t>
      </w:r>
      <w:proofErr w:type="gramEnd"/>
      <w:r w:rsidRPr="00732DA8">
        <w:rPr>
          <w:rFonts w:ascii="Times" w:hAnsi="Times"/>
          <w:sz w:val="24"/>
        </w:rPr>
        <w:t xml:space="preserve"> </w:t>
      </w:r>
    </w:p>
    <w:p w14:paraId="15BEFCD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Fleury E, Huvet A. (2012) Microarray analysis highlights immune response of Pacific oysters as a determinant of resistance to summer mortality. Marine Biotechnology. </w:t>
      </w:r>
      <w:proofErr w:type="gramStart"/>
      <w:r w:rsidRPr="00732DA8">
        <w:rPr>
          <w:rFonts w:ascii="Times" w:hAnsi="Times"/>
          <w:sz w:val="24"/>
        </w:rPr>
        <w:t>14: 203-217.</w:t>
      </w:r>
      <w:proofErr w:type="gramEnd"/>
      <w:r w:rsidRPr="00732DA8">
        <w:rPr>
          <w:rFonts w:ascii="Times" w:hAnsi="Times"/>
          <w:sz w:val="24"/>
        </w:rPr>
        <w:t xml:space="preserve"> </w:t>
      </w:r>
    </w:p>
    <w:p w14:paraId="5AF7B68D"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Florens L, Carozza MJ, Swanson SK, Fournier M, Coleman MK, Workman JL, Washburn MP. (2006) Analyzing Chromatin Remodeling Complexes Using Shotgun Proteomics and Normalized Spectral Abundance Factors. Methods. </w:t>
      </w:r>
      <w:proofErr w:type="gramStart"/>
      <w:r w:rsidRPr="00732DA8">
        <w:rPr>
          <w:rFonts w:ascii="Times" w:hAnsi="Times"/>
          <w:sz w:val="24"/>
        </w:rPr>
        <w:t>4: 303-311.</w:t>
      </w:r>
      <w:proofErr w:type="gramEnd"/>
    </w:p>
    <w:p w14:paraId="6C231A42"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Griffitt RJ, Chandler GT, Greig TW, Quattro JM.</w:t>
      </w:r>
      <w:proofErr w:type="gramEnd"/>
      <w:r w:rsidRPr="00732DA8">
        <w:rPr>
          <w:rFonts w:ascii="Times" w:hAnsi="Times"/>
          <w:sz w:val="24"/>
        </w:rPr>
        <w:t xml:space="preserve"> (2006) Cathepsin B and glutahione peroxidase show differing transcriptional responses in the grass shrimp, </w:t>
      </w:r>
      <w:r w:rsidRPr="00732DA8">
        <w:rPr>
          <w:rFonts w:ascii="Times" w:hAnsi="Times"/>
          <w:i/>
          <w:sz w:val="24"/>
        </w:rPr>
        <w:t>Palaemonetes pugio</w:t>
      </w:r>
      <w:r w:rsidRPr="00732DA8">
        <w:rPr>
          <w:rFonts w:ascii="Times" w:hAnsi="Times"/>
          <w:sz w:val="24"/>
        </w:rPr>
        <w:t xml:space="preserve"> following exposure to three xenobiotics. </w:t>
      </w:r>
      <w:proofErr w:type="gramStart"/>
      <w:r w:rsidRPr="00732DA8">
        <w:rPr>
          <w:rFonts w:ascii="Times" w:hAnsi="Times"/>
          <w:sz w:val="24"/>
        </w:rPr>
        <w:t>Environmental Science &amp; Technology.</w:t>
      </w:r>
      <w:proofErr w:type="gramEnd"/>
      <w:r w:rsidRPr="00732DA8">
        <w:rPr>
          <w:rFonts w:ascii="Times" w:hAnsi="Times"/>
          <w:sz w:val="24"/>
        </w:rPr>
        <w:t xml:space="preserve"> </w:t>
      </w:r>
      <w:proofErr w:type="gramStart"/>
      <w:r w:rsidRPr="00732DA8">
        <w:rPr>
          <w:rFonts w:ascii="Times" w:hAnsi="Times"/>
          <w:sz w:val="24"/>
        </w:rPr>
        <w:t>40: 3640-3645.</w:t>
      </w:r>
      <w:proofErr w:type="gramEnd"/>
      <w:r w:rsidRPr="00732DA8">
        <w:rPr>
          <w:rFonts w:ascii="Times" w:hAnsi="Times"/>
          <w:sz w:val="24"/>
        </w:rPr>
        <w:t xml:space="preserve"> </w:t>
      </w:r>
    </w:p>
    <w:p w14:paraId="19B34A6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Hogstrand C, Balesaria S, Glover CN. (2002) </w:t>
      </w:r>
      <w:proofErr w:type="gramStart"/>
      <w:r w:rsidRPr="00732DA8">
        <w:rPr>
          <w:rFonts w:ascii="Times" w:hAnsi="Times"/>
          <w:sz w:val="24"/>
        </w:rPr>
        <w:t>Application of genomics and proteomics for study of the integrated response to zinc exposure in a non-model fish species, the rainbow trout.</w:t>
      </w:r>
      <w:proofErr w:type="gramEnd"/>
      <w:r w:rsidRPr="00732DA8">
        <w:rPr>
          <w:rFonts w:ascii="Times" w:hAnsi="Times"/>
          <w:sz w:val="24"/>
        </w:rPr>
        <w:t xml:space="preserve"> Comparative Biochemistry and Physiology Part B: Biochemistry and Molecular Biology. </w:t>
      </w:r>
      <w:proofErr w:type="gramStart"/>
      <w:r w:rsidRPr="00732DA8">
        <w:rPr>
          <w:rFonts w:ascii="Times" w:hAnsi="Times"/>
          <w:sz w:val="24"/>
        </w:rPr>
        <w:t>133: 523-535.</w:t>
      </w:r>
      <w:proofErr w:type="gramEnd"/>
      <w:r w:rsidRPr="00732DA8">
        <w:rPr>
          <w:rFonts w:ascii="Times" w:hAnsi="Times"/>
          <w:sz w:val="24"/>
        </w:rPr>
        <w:t xml:space="preserve"> </w:t>
      </w:r>
    </w:p>
    <w:p w14:paraId="0E3AA8D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 P, Wang H, Dong B, Liu B</w:t>
      </w:r>
      <w:r w:rsidRPr="00732DA8">
        <w:rPr>
          <w:rFonts w:ascii="Times" w:hAnsi="Times"/>
          <w:i/>
          <w:sz w:val="24"/>
        </w:rPr>
        <w:t>.</w:t>
      </w:r>
      <w:r w:rsidRPr="00732DA8">
        <w:rPr>
          <w:rFonts w:ascii="Times" w:hAnsi="Times"/>
          <w:sz w:val="24"/>
        </w:rPr>
        <w:t xml:space="preserve"> (2012) Identification of differentially expressed proteins involved in the early larval development of the Pacific oyster </w:t>
      </w:r>
      <w:r w:rsidRPr="00732DA8">
        <w:rPr>
          <w:rFonts w:ascii="Times" w:hAnsi="Times"/>
          <w:i/>
          <w:sz w:val="24"/>
        </w:rPr>
        <w:t>Crassostrea gigas</w:t>
      </w:r>
      <w:r w:rsidRPr="00732DA8">
        <w:rPr>
          <w:rFonts w:ascii="Times" w:hAnsi="Times"/>
          <w:sz w:val="24"/>
        </w:rPr>
        <w:t xml:space="preserve">. </w:t>
      </w:r>
      <w:proofErr w:type="gramStart"/>
      <w:r w:rsidRPr="00732DA8">
        <w:rPr>
          <w:rFonts w:ascii="Times" w:hAnsi="Times"/>
          <w:sz w:val="24"/>
        </w:rPr>
        <w:t>Journal of Proteomics.</w:t>
      </w:r>
      <w:proofErr w:type="gramEnd"/>
      <w:r w:rsidRPr="00732DA8">
        <w:rPr>
          <w:rFonts w:ascii="Times" w:hAnsi="Times"/>
          <w:sz w:val="24"/>
        </w:rPr>
        <w:t xml:space="preserve"> </w:t>
      </w:r>
      <w:proofErr w:type="gramStart"/>
      <w:r w:rsidRPr="00732DA8">
        <w:rPr>
          <w:rFonts w:ascii="Times" w:hAnsi="Times"/>
          <w:sz w:val="24"/>
        </w:rPr>
        <w:t>75: 3855-3865.</w:t>
      </w:r>
      <w:proofErr w:type="gramEnd"/>
      <w:r w:rsidRPr="00732DA8">
        <w:rPr>
          <w:rFonts w:ascii="Times" w:hAnsi="Times"/>
          <w:sz w:val="24"/>
        </w:rPr>
        <w:t xml:space="preserve"> </w:t>
      </w:r>
    </w:p>
    <w:p w14:paraId="7B6BFBE5"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Huang DW, Sherman BT, Lempicki RA.</w:t>
      </w:r>
      <w:proofErr w:type="gramEnd"/>
      <w:r w:rsidRPr="00732DA8">
        <w:rPr>
          <w:rFonts w:ascii="Times" w:hAnsi="Times"/>
          <w:sz w:val="24"/>
        </w:rPr>
        <w:t xml:space="preserve"> (2009a) Systematic and integrative analysis of large gene lists using DAVID Bioinformatics Resources.  Nature Protocols. 4: 44-57.</w:t>
      </w:r>
    </w:p>
    <w:p w14:paraId="78AB7E71"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Huang DW, Sherman BT, Lempicki RA</w:t>
      </w:r>
      <w:r w:rsidRPr="00732DA8">
        <w:rPr>
          <w:rFonts w:ascii="Times" w:hAnsi="Times"/>
          <w:i/>
          <w:sz w:val="24"/>
        </w:rPr>
        <w:t>.</w:t>
      </w:r>
      <w:proofErr w:type="gramEnd"/>
      <w:r w:rsidRPr="00732DA8">
        <w:rPr>
          <w:rFonts w:ascii="Times" w:hAnsi="Times"/>
          <w:sz w:val="24"/>
        </w:rPr>
        <w:t xml:space="preserve"> (2009b) Bioinformatics enrichment tools: paths toward the comprehensive functional analysis of large gene lists. </w:t>
      </w:r>
      <w:proofErr w:type="gramStart"/>
      <w:r w:rsidRPr="00732DA8">
        <w:rPr>
          <w:rFonts w:ascii="Times" w:hAnsi="Times"/>
          <w:sz w:val="24"/>
        </w:rPr>
        <w:t>Nucleic Acids Research.</w:t>
      </w:r>
      <w:proofErr w:type="gramEnd"/>
      <w:r w:rsidRPr="00732DA8">
        <w:rPr>
          <w:rFonts w:ascii="Times" w:hAnsi="Times"/>
          <w:sz w:val="24"/>
        </w:rPr>
        <w:t xml:space="preserve"> </w:t>
      </w:r>
      <w:proofErr w:type="gramStart"/>
      <w:r w:rsidRPr="00732DA8">
        <w:rPr>
          <w:rFonts w:ascii="Times" w:hAnsi="Times"/>
          <w:sz w:val="24"/>
        </w:rPr>
        <w:t>37: 1-13.</w:t>
      </w:r>
      <w:proofErr w:type="gramEnd"/>
    </w:p>
    <w:p w14:paraId="661EB7CC"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Kültz D, Somero GN. </w:t>
      </w:r>
      <w:proofErr w:type="gramStart"/>
      <w:r w:rsidRPr="00732DA8">
        <w:rPr>
          <w:rFonts w:ascii="Times" w:hAnsi="Times"/>
          <w:sz w:val="24"/>
        </w:rPr>
        <w:t xml:space="preserve">(1996) Differences in protein patterns of gill epithelial cells of the fish </w:t>
      </w:r>
      <w:r w:rsidRPr="00732DA8">
        <w:rPr>
          <w:rFonts w:ascii="Times" w:hAnsi="Times"/>
          <w:i/>
          <w:sz w:val="24"/>
        </w:rPr>
        <w:t xml:space="preserve">Gillichthys mirabilis </w:t>
      </w:r>
      <w:r w:rsidRPr="00732DA8">
        <w:rPr>
          <w:rFonts w:ascii="Times" w:hAnsi="Times"/>
          <w:sz w:val="24"/>
        </w:rPr>
        <w:t>after osmotic and thermal acclimation.</w:t>
      </w:r>
      <w:proofErr w:type="gramEnd"/>
      <w:r w:rsidRPr="00732DA8">
        <w:rPr>
          <w:rFonts w:ascii="Times" w:hAnsi="Times"/>
          <w:sz w:val="24"/>
        </w:rPr>
        <w:t xml:space="preserve"> Journal of Comparative Physiology B: Biochemical, Systemic, and Environmental Physiology. </w:t>
      </w:r>
      <w:proofErr w:type="gramStart"/>
      <w:r w:rsidRPr="00732DA8">
        <w:rPr>
          <w:rFonts w:ascii="Times" w:hAnsi="Times"/>
          <w:sz w:val="24"/>
        </w:rPr>
        <w:t>166: 88-100.</w:t>
      </w:r>
      <w:proofErr w:type="gramEnd"/>
      <w:r w:rsidRPr="00732DA8">
        <w:rPr>
          <w:rFonts w:ascii="Times" w:hAnsi="Times"/>
          <w:sz w:val="24"/>
        </w:rPr>
        <w:t xml:space="preserve"> </w:t>
      </w:r>
    </w:p>
    <w:p w14:paraId="437E0B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Liu F, Wang W (2012) Proteome pattern in oysters as a diagnostic tool for metal pollution. </w:t>
      </w:r>
      <w:proofErr w:type="gramStart"/>
      <w:r w:rsidRPr="00732DA8">
        <w:rPr>
          <w:rFonts w:ascii="Times" w:hAnsi="Times"/>
          <w:sz w:val="24"/>
        </w:rPr>
        <w:t>Journal of Hazardous Materials.</w:t>
      </w:r>
      <w:proofErr w:type="gramEnd"/>
      <w:r w:rsidRPr="00732DA8">
        <w:rPr>
          <w:rFonts w:ascii="Times" w:hAnsi="Times"/>
          <w:sz w:val="24"/>
        </w:rPr>
        <w:t xml:space="preserve"> </w:t>
      </w:r>
      <w:proofErr w:type="gramStart"/>
      <w:r w:rsidRPr="00732DA8">
        <w:rPr>
          <w:rFonts w:ascii="Times" w:hAnsi="Times"/>
          <w:sz w:val="24"/>
        </w:rPr>
        <w:t>239-240: 241-248.</w:t>
      </w:r>
      <w:proofErr w:type="gramEnd"/>
    </w:p>
    <w:p w14:paraId="559DCA1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Lockwood BL, Sanders JG, Somero GN</w:t>
      </w:r>
      <w:r w:rsidRPr="00732DA8">
        <w:rPr>
          <w:rFonts w:ascii="Times" w:hAnsi="Times"/>
          <w:i/>
          <w:sz w:val="24"/>
        </w:rPr>
        <w:t>.</w:t>
      </w:r>
      <w:r w:rsidRPr="00732DA8">
        <w:rPr>
          <w:rFonts w:ascii="Times" w:hAnsi="Times"/>
          <w:sz w:val="24"/>
        </w:rPr>
        <w:t xml:space="preserve"> (2010) Transcriptomic responses to heat stress in invasive and native blue mussels (genus </w:t>
      </w:r>
      <w:r w:rsidRPr="00732DA8">
        <w:rPr>
          <w:rFonts w:ascii="Times" w:hAnsi="Times"/>
          <w:i/>
          <w:sz w:val="24"/>
        </w:rPr>
        <w:t>Mytilus</w:t>
      </w:r>
      <w:r w:rsidRPr="00732DA8">
        <w:rPr>
          <w:rFonts w:ascii="Times" w:hAnsi="Times"/>
          <w:sz w:val="24"/>
        </w:rPr>
        <w:t xml:space="preserve">): molecular correlates of invasive success. </w:t>
      </w:r>
      <w:proofErr w:type="gramStart"/>
      <w:r w:rsidRPr="00732DA8">
        <w:rPr>
          <w:rFonts w:ascii="Times" w:hAnsi="Times"/>
          <w:sz w:val="24"/>
        </w:rPr>
        <w:t>The Journal of Experimental Biology.</w:t>
      </w:r>
      <w:proofErr w:type="gramEnd"/>
      <w:r w:rsidRPr="00732DA8">
        <w:rPr>
          <w:rFonts w:ascii="Times" w:hAnsi="Times"/>
          <w:sz w:val="24"/>
        </w:rPr>
        <w:t xml:space="preserve"> </w:t>
      </w:r>
      <w:proofErr w:type="gramStart"/>
      <w:r w:rsidRPr="00732DA8">
        <w:rPr>
          <w:rFonts w:ascii="Times" w:hAnsi="Times"/>
          <w:sz w:val="24"/>
        </w:rPr>
        <w:t>213: 3548-3558.</w:t>
      </w:r>
      <w:proofErr w:type="gramEnd"/>
      <w:r w:rsidRPr="00732DA8">
        <w:rPr>
          <w:rFonts w:ascii="Times" w:hAnsi="Times"/>
          <w:sz w:val="24"/>
        </w:rPr>
        <w:t xml:space="preserve"> </w:t>
      </w:r>
    </w:p>
    <w:p w14:paraId="215D9EA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Meistertzheim AL, Tanguy A, Moraga D, Thébault MT. (2007) Identification of differentially expressed genes of the Pacific oyster </w:t>
      </w:r>
      <w:r w:rsidRPr="00732DA8">
        <w:rPr>
          <w:rFonts w:ascii="Times" w:hAnsi="Times"/>
          <w:i/>
          <w:sz w:val="24"/>
        </w:rPr>
        <w:t xml:space="preserve">Crassostrea gigas </w:t>
      </w:r>
      <w:r w:rsidRPr="00732DA8">
        <w:rPr>
          <w:rFonts w:ascii="Times" w:hAnsi="Times"/>
          <w:sz w:val="24"/>
        </w:rPr>
        <w:t xml:space="preserve">exposed to prolonged thermal stress. The FEBS Journal. </w:t>
      </w:r>
      <w:proofErr w:type="gramStart"/>
      <w:r w:rsidRPr="00732DA8">
        <w:rPr>
          <w:rFonts w:ascii="Times" w:hAnsi="Times"/>
          <w:sz w:val="24"/>
        </w:rPr>
        <w:t>274: 6392-6402.</w:t>
      </w:r>
      <w:proofErr w:type="gramEnd"/>
    </w:p>
    <w:p w14:paraId="1F9C5A8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Morris RM, Nunn BL, Frazer C, Goodlett DR, Ting YS, Rocap G. (2010) Comparative metaproteomics reveals ocean-scale shifts in microbial nutrient utilization and energy transduction. The ISME Journal. </w:t>
      </w:r>
      <w:proofErr w:type="gramStart"/>
      <w:r w:rsidRPr="00732DA8">
        <w:rPr>
          <w:rFonts w:ascii="Times" w:hAnsi="Times"/>
          <w:sz w:val="24"/>
        </w:rPr>
        <w:t>4: 673-685.</w:t>
      </w:r>
      <w:proofErr w:type="gramEnd"/>
      <w:r w:rsidRPr="00732DA8">
        <w:rPr>
          <w:rFonts w:ascii="Times" w:hAnsi="Times"/>
          <w:sz w:val="24"/>
        </w:rPr>
        <w:t xml:space="preserve"> </w:t>
      </w:r>
    </w:p>
    <w:p w14:paraId="4C49385E"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Muralidharan S, Thompson E, Raftos D, Birch G, Haynes PA</w:t>
      </w:r>
      <w:r w:rsidRPr="00732DA8">
        <w:rPr>
          <w:rFonts w:ascii="Times" w:hAnsi="Times"/>
          <w:i/>
          <w:sz w:val="24"/>
        </w:rPr>
        <w:t>.</w:t>
      </w:r>
      <w:r w:rsidRPr="00732DA8">
        <w:rPr>
          <w:rFonts w:ascii="Times" w:hAnsi="Times"/>
          <w:sz w:val="24"/>
        </w:rPr>
        <w:t xml:space="preserve"> (2012) Quantitative proteomics of heavy metal stress responses in Sydney rock oysters. Proteomics. </w:t>
      </w:r>
      <w:proofErr w:type="gramStart"/>
      <w:r w:rsidRPr="00732DA8">
        <w:rPr>
          <w:rFonts w:ascii="Times" w:hAnsi="Times"/>
          <w:sz w:val="24"/>
        </w:rPr>
        <w:t>12: 906-921.</w:t>
      </w:r>
      <w:proofErr w:type="gramEnd"/>
      <w:r w:rsidRPr="00732DA8">
        <w:rPr>
          <w:rFonts w:ascii="Times" w:hAnsi="Times"/>
          <w:sz w:val="24"/>
        </w:rPr>
        <w:t xml:space="preserve"> </w:t>
      </w:r>
    </w:p>
    <w:p w14:paraId="300453C1"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Nesvizhskii AI, Keller A, Kolker E, Aebersold R</w:t>
      </w:r>
      <w:r w:rsidRPr="00732DA8">
        <w:rPr>
          <w:rFonts w:ascii="Times" w:hAnsi="Times"/>
          <w:i/>
          <w:sz w:val="24"/>
        </w:rPr>
        <w:t>.</w:t>
      </w:r>
      <w:r w:rsidRPr="00732DA8">
        <w:rPr>
          <w:rFonts w:ascii="Times" w:hAnsi="Times"/>
          <w:sz w:val="24"/>
        </w:rPr>
        <w:t xml:space="preserve"> (2003) A Statistical Model for Identifying Proteins by Tandem Mass Spectrometry.</w:t>
      </w:r>
      <w:proofErr w:type="gramEnd"/>
      <w:r w:rsidRPr="00732DA8">
        <w:rPr>
          <w:rFonts w:ascii="Times" w:hAnsi="Times"/>
          <w:sz w:val="24"/>
        </w:rPr>
        <w:t xml:space="preserve"> Analytical Chemistry. </w:t>
      </w:r>
      <w:proofErr w:type="gramStart"/>
      <w:r w:rsidRPr="00732DA8">
        <w:rPr>
          <w:rFonts w:ascii="Times" w:hAnsi="Times"/>
          <w:sz w:val="24"/>
        </w:rPr>
        <w:t>75: 4646-4658.</w:t>
      </w:r>
      <w:proofErr w:type="gramEnd"/>
      <w:r w:rsidRPr="00732DA8">
        <w:rPr>
          <w:rFonts w:ascii="Times" w:hAnsi="Times"/>
          <w:sz w:val="24"/>
        </w:rPr>
        <w:t xml:space="preserve"> </w:t>
      </w:r>
    </w:p>
    <w:p w14:paraId="310DD24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color w:val="auto"/>
          <w:sz w:val="24"/>
        </w:rPr>
        <w:t>Oliveros JC (2007) VENNY. An interactive tool for comparing lists with Venn Diagrams.</w:t>
      </w:r>
      <w:hyperlink r:id="rId22">
        <w:r w:rsidRPr="00732DA8">
          <w:rPr>
            <w:rFonts w:ascii="Times" w:hAnsi="Times"/>
            <w:color w:val="auto"/>
            <w:sz w:val="24"/>
          </w:rPr>
          <w:t xml:space="preserve"> </w:t>
        </w:r>
      </w:hyperlink>
      <w:hyperlink r:id="rId23">
        <w:r w:rsidRPr="00732DA8">
          <w:rPr>
            <w:rFonts w:ascii="Times" w:hAnsi="Times"/>
            <w:color w:val="auto"/>
            <w:sz w:val="24"/>
          </w:rPr>
          <w:t>http://bioinfogp.cnb.csic.es/tools/venny/index.html</w:t>
        </w:r>
      </w:hyperlink>
      <w:r w:rsidRPr="00732DA8">
        <w:rPr>
          <w:rFonts w:ascii="Times" w:hAnsi="Times"/>
          <w:color w:val="auto"/>
          <w:sz w:val="24"/>
        </w:rPr>
        <w:t xml:space="preserve"> (last accessed 29 October 2012).</w:t>
      </w:r>
    </w:p>
    <w:p w14:paraId="7A48CC5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Papakostas S, Vasemăgi A, Văhă JP, Himberg M, Peil L, Primmer CR</w:t>
      </w:r>
      <w:r w:rsidRPr="00732DA8">
        <w:rPr>
          <w:rFonts w:ascii="Times" w:hAnsi="Times"/>
          <w:i/>
          <w:sz w:val="24"/>
        </w:rPr>
        <w:t>.</w:t>
      </w:r>
      <w:r w:rsidRPr="00732DA8">
        <w:rPr>
          <w:rFonts w:ascii="Times" w:hAnsi="Times"/>
          <w:sz w:val="24"/>
        </w:rPr>
        <w:t xml:space="preserve"> (2012) A proteomics approach reveals divergent molecular responses to salinity in populations of European whitefish (</w:t>
      </w:r>
      <w:r w:rsidRPr="00732DA8">
        <w:rPr>
          <w:rFonts w:ascii="Times" w:hAnsi="Times"/>
          <w:i/>
          <w:sz w:val="24"/>
        </w:rPr>
        <w:t>Coregonus lavaretus</w:t>
      </w:r>
      <w:r w:rsidRPr="00732DA8">
        <w:rPr>
          <w:rFonts w:ascii="Times" w:hAnsi="Times"/>
          <w:sz w:val="24"/>
        </w:rPr>
        <w:t xml:space="preserve">). Molecular Ecology. </w:t>
      </w:r>
      <w:proofErr w:type="gramStart"/>
      <w:r w:rsidRPr="00732DA8">
        <w:rPr>
          <w:rFonts w:ascii="Times" w:hAnsi="Times"/>
          <w:sz w:val="24"/>
        </w:rPr>
        <w:t>21: 3516-3530.</w:t>
      </w:r>
      <w:proofErr w:type="gramEnd"/>
      <w:r w:rsidRPr="00732DA8">
        <w:rPr>
          <w:rFonts w:ascii="Times" w:hAnsi="Times"/>
          <w:sz w:val="24"/>
        </w:rPr>
        <w:t xml:space="preserve"> </w:t>
      </w:r>
    </w:p>
    <w:p w14:paraId="55D47B6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Philipp EER, Kraemer L, Melzner F, Poustka AJ, Thieme S, Findeisen U, Schreiber S, Rosenstiel P</w:t>
      </w:r>
      <w:r w:rsidRPr="00732DA8">
        <w:rPr>
          <w:rFonts w:ascii="Times" w:hAnsi="Times"/>
          <w:i/>
          <w:sz w:val="24"/>
        </w:rPr>
        <w:t>.</w:t>
      </w:r>
      <w:r w:rsidRPr="00732DA8">
        <w:rPr>
          <w:rFonts w:ascii="Times" w:hAnsi="Times"/>
          <w:sz w:val="24"/>
        </w:rPr>
        <w:t xml:space="preserve"> (2012) Massively Parallel RNA Sequencing Identifies a Complex Immune Gene Repertoire in the lophotrochozoan </w:t>
      </w:r>
      <w:r w:rsidRPr="00732DA8">
        <w:rPr>
          <w:rFonts w:ascii="Times" w:hAnsi="Times"/>
          <w:i/>
          <w:sz w:val="24"/>
        </w:rPr>
        <w:t>Mytilus edulis</w:t>
      </w:r>
      <w:r w:rsidRPr="00732DA8">
        <w:rPr>
          <w:rFonts w:ascii="Times" w:hAnsi="Times"/>
          <w:sz w:val="24"/>
        </w:rPr>
        <w:t xml:space="preserve">. PLoS One. 7: e33091. </w:t>
      </w:r>
    </w:p>
    <w:p w14:paraId="538DF44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Polato NR, Vera JC, Baums IB</w:t>
      </w:r>
      <w:r w:rsidRPr="00732DA8">
        <w:rPr>
          <w:rFonts w:ascii="Times" w:hAnsi="Times"/>
          <w:i/>
          <w:sz w:val="24"/>
        </w:rPr>
        <w:t>.</w:t>
      </w:r>
      <w:r w:rsidRPr="00732DA8">
        <w:rPr>
          <w:rFonts w:ascii="Times" w:hAnsi="Times"/>
          <w:sz w:val="24"/>
        </w:rPr>
        <w:t xml:space="preserve"> (2011) Gene Discovery in the Threatened Elkhorn Coral: 454 </w:t>
      </w:r>
      <w:proofErr w:type="gramStart"/>
      <w:r w:rsidRPr="00732DA8">
        <w:rPr>
          <w:rFonts w:ascii="Times" w:hAnsi="Times"/>
          <w:sz w:val="24"/>
        </w:rPr>
        <w:t>Sequencing</w:t>
      </w:r>
      <w:proofErr w:type="gramEnd"/>
      <w:r w:rsidRPr="00732DA8">
        <w:rPr>
          <w:rFonts w:ascii="Times" w:hAnsi="Times"/>
          <w:sz w:val="24"/>
        </w:rPr>
        <w:t xml:space="preserve"> of the </w:t>
      </w:r>
      <w:r w:rsidRPr="00732DA8">
        <w:rPr>
          <w:rFonts w:ascii="Times" w:hAnsi="Times"/>
          <w:i/>
          <w:sz w:val="24"/>
        </w:rPr>
        <w:t xml:space="preserve">Acropora palmata </w:t>
      </w:r>
      <w:r w:rsidRPr="00732DA8">
        <w:rPr>
          <w:rFonts w:ascii="Times" w:hAnsi="Times"/>
          <w:sz w:val="24"/>
        </w:rPr>
        <w:t>Transcriptome. PLoS One 6: e28634.</w:t>
      </w:r>
    </w:p>
    <w:p w14:paraId="07E04E6A" w14:textId="77777777" w:rsidR="00732DA8" w:rsidRPr="00732DA8" w:rsidRDefault="00732DA8" w:rsidP="00732DA8">
      <w:pPr>
        <w:pStyle w:val="normal0"/>
        <w:spacing w:line="240" w:lineRule="auto"/>
        <w:ind w:left="720" w:hanging="720"/>
        <w:rPr>
          <w:rFonts w:ascii="Times" w:hAnsi="Times"/>
          <w:color w:val="auto"/>
          <w:sz w:val="24"/>
        </w:rPr>
      </w:pPr>
      <w:r w:rsidRPr="00732DA8">
        <w:rPr>
          <w:rFonts w:ascii="Times" w:hAnsi="Times"/>
          <w:sz w:val="24"/>
        </w:rPr>
        <w:t xml:space="preserve">R Development Core Team (2009) R: A language and environment for statistical computing.  </w:t>
      </w:r>
      <w:proofErr w:type="gramStart"/>
      <w:r w:rsidRPr="00732DA8">
        <w:rPr>
          <w:rFonts w:ascii="Times" w:hAnsi="Times"/>
          <w:sz w:val="24"/>
        </w:rPr>
        <w:t>R Foundation for Statistical Computing, Vienna, Austria.</w:t>
      </w:r>
      <w:proofErr w:type="gramEnd"/>
      <w:r w:rsidRPr="00732DA8">
        <w:rPr>
          <w:rFonts w:ascii="Times" w:hAnsi="Times"/>
          <w:sz w:val="24"/>
        </w:rPr>
        <w:t xml:space="preserve"> </w:t>
      </w:r>
      <w:proofErr w:type="gramStart"/>
      <w:r w:rsidRPr="00732DA8">
        <w:rPr>
          <w:rFonts w:ascii="Times" w:hAnsi="Times"/>
          <w:sz w:val="24"/>
        </w:rPr>
        <w:t>ISBN 3-900051-07-0, URL</w:t>
      </w:r>
      <w:hyperlink r:id="rId24">
        <w:r w:rsidRPr="00732DA8">
          <w:rPr>
            <w:rFonts w:ascii="Times" w:hAnsi="Times"/>
            <w:sz w:val="24"/>
          </w:rPr>
          <w:t xml:space="preserve"> </w:t>
        </w:r>
      </w:hyperlink>
      <w:hyperlink r:id="rId25">
        <w:proofErr w:type="gramEnd"/>
        <w:r w:rsidRPr="00732DA8">
          <w:rPr>
            <w:rFonts w:ascii="Times" w:hAnsi="Times"/>
            <w:color w:val="auto"/>
            <w:sz w:val="24"/>
          </w:rPr>
          <w:t>http://www.R-project.org</w:t>
        </w:r>
        <w:proofErr w:type="gramStart"/>
      </w:hyperlink>
      <w:r w:rsidRPr="00732DA8">
        <w:rPr>
          <w:rFonts w:ascii="Times" w:hAnsi="Times"/>
          <w:color w:val="auto"/>
          <w:sz w:val="24"/>
        </w:rPr>
        <w:t>.</w:t>
      </w:r>
      <w:proofErr w:type="gramEnd"/>
    </w:p>
    <w:p w14:paraId="432CE218"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color w:val="auto"/>
          <w:sz w:val="24"/>
        </w:rPr>
        <w:t>Simonian M, Nair SV, Neil JA, Raftos DA.</w:t>
      </w:r>
      <w:proofErr w:type="gramEnd"/>
      <w:r w:rsidRPr="00732DA8">
        <w:rPr>
          <w:rFonts w:ascii="Times" w:hAnsi="Times"/>
          <w:color w:val="auto"/>
          <w:sz w:val="24"/>
        </w:rPr>
        <w:t xml:space="preserve"> (2009) Proteomic clues to the identification of QX disease-resistance biomarkers in selectively bred Sydney rock oysters, </w:t>
      </w:r>
      <w:r w:rsidRPr="00732DA8">
        <w:rPr>
          <w:rFonts w:ascii="Times" w:hAnsi="Times"/>
          <w:i/>
          <w:color w:val="auto"/>
          <w:sz w:val="24"/>
        </w:rPr>
        <w:t>Saccostrea glomerata</w:t>
      </w:r>
      <w:r w:rsidRPr="00732DA8">
        <w:rPr>
          <w:rFonts w:ascii="Times" w:hAnsi="Times"/>
          <w:color w:val="auto"/>
          <w:sz w:val="24"/>
        </w:rPr>
        <w:t xml:space="preserve">. </w:t>
      </w:r>
      <w:proofErr w:type="gramStart"/>
      <w:r w:rsidRPr="00732DA8">
        <w:rPr>
          <w:rFonts w:ascii="Times" w:hAnsi="Times"/>
          <w:color w:val="auto"/>
          <w:sz w:val="24"/>
        </w:rPr>
        <w:t>Journal of Proteomics.</w:t>
      </w:r>
      <w:proofErr w:type="gramEnd"/>
      <w:r w:rsidRPr="00732DA8">
        <w:rPr>
          <w:rFonts w:ascii="Times" w:hAnsi="Times"/>
          <w:color w:val="auto"/>
          <w:sz w:val="24"/>
        </w:rPr>
        <w:t xml:space="preserve"> </w:t>
      </w:r>
      <w:proofErr w:type="gramStart"/>
      <w:r w:rsidRPr="00732DA8">
        <w:rPr>
          <w:rFonts w:ascii="Times" w:hAnsi="Times"/>
          <w:color w:val="auto"/>
          <w:sz w:val="24"/>
        </w:rPr>
        <w:t>73: 209-217.</w:t>
      </w:r>
      <w:proofErr w:type="gramEnd"/>
    </w:p>
    <w:p w14:paraId="2BEA854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Stumpp M, Dupont S, Thorndyke MC, Melzner F</w:t>
      </w:r>
      <w:r w:rsidRPr="00732DA8">
        <w:rPr>
          <w:rFonts w:ascii="Times" w:hAnsi="Times"/>
          <w:i/>
          <w:sz w:val="24"/>
        </w:rPr>
        <w:t>.</w:t>
      </w:r>
      <w:r w:rsidRPr="00732DA8">
        <w:rPr>
          <w:rFonts w:ascii="Times" w:hAnsi="Times"/>
          <w:sz w:val="24"/>
        </w:rPr>
        <w:t xml:space="preserve"> (2011) CO</w:t>
      </w:r>
      <w:r w:rsidRPr="00732DA8">
        <w:rPr>
          <w:rFonts w:ascii="Times" w:hAnsi="Times"/>
          <w:sz w:val="24"/>
          <w:vertAlign w:val="subscript"/>
        </w:rPr>
        <w:t>2</w:t>
      </w:r>
      <w:r w:rsidRPr="00732DA8">
        <w:rPr>
          <w:rFonts w:ascii="Times" w:hAnsi="Times"/>
          <w:sz w:val="24"/>
        </w:rPr>
        <w:t xml:space="preserve"> induced seawater acidification impacts sea urchin larval development II: Gene expression patterns in pluteus larvae. Comparative Biochemistry and Physiology Part A: Molecular &amp; Integrative Physiology. </w:t>
      </w:r>
      <w:proofErr w:type="gramStart"/>
      <w:r w:rsidRPr="00732DA8">
        <w:rPr>
          <w:rFonts w:ascii="Times" w:hAnsi="Times"/>
          <w:sz w:val="24"/>
        </w:rPr>
        <w:t>160: 320-330.</w:t>
      </w:r>
      <w:proofErr w:type="gramEnd"/>
    </w:p>
    <w:p w14:paraId="5F08482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Supek F, Bošnjak M, Škunca N, Šmuc T</w:t>
      </w:r>
      <w:r w:rsidRPr="00732DA8">
        <w:rPr>
          <w:rFonts w:ascii="Times" w:hAnsi="Times"/>
          <w:i/>
          <w:sz w:val="24"/>
        </w:rPr>
        <w:t>.</w:t>
      </w:r>
      <w:r w:rsidRPr="00732DA8">
        <w:rPr>
          <w:rFonts w:ascii="Times" w:hAnsi="Times"/>
          <w:sz w:val="24"/>
        </w:rPr>
        <w:t xml:space="preserve"> (2011) REVIGO summarizes and visualizes long lists of Gene Ontology terms. PLoS One. 6: e21800. </w:t>
      </w:r>
    </w:p>
    <w:p w14:paraId="5BC55CC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Tanguy A, Boutet I, Laroche J, Moraga D</w:t>
      </w:r>
      <w:r w:rsidRPr="00732DA8">
        <w:rPr>
          <w:rFonts w:ascii="Times" w:hAnsi="Times"/>
          <w:i/>
          <w:sz w:val="24"/>
        </w:rPr>
        <w:t>.</w:t>
      </w:r>
      <w:r w:rsidRPr="00732DA8">
        <w:rPr>
          <w:rFonts w:ascii="Times" w:hAnsi="Times"/>
          <w:sz w:val="24"/>
        </w:rPr>
        <w:t xml:space="preserve"> (2005) Molecular identification and expression study of differentially regulated genes in the Pacific oyster </w:t>
      </w:r>
      <w:r w:rsidRPr="00732DA8">
        <w:rPr>
          <w:rFonts w:ascii="Times" w:hAnsi="Times"/>
          <w:i/>
          <w:sz w:val="24"/>
        </w:rPr>
        <w:t xml:space="preserve">Crassostrea gigas </w:t>
      </w:r>
      <w:r w:rsidRPr="00732DA8">
        <w:rPr>
          <w:rFonts w:ascii="Times" w:hAnsi="Times"/>
          <w:sz w:val="24"/>
        </w:rPr>
        <w:t xml:space="preserve">in response to pesticide exposure. The FEBS Journal. </w:t>
      </w:r>
      <w:proofErr w:type="gramStart"/>
      <w:r w:rsidRPr="00732DA8">
        <w:rPr>
          <w:rFonts w:ascii="Times" w:hAnsi="Times"/>
          <w:sz w:val="24"/>
        </w:rPr>
        <w:t>272: 390-403.</w:t>
      </w:r>
      <w:proofErr w:type="gramEnd"/>
    </w:p>
    <w:p w14:paraId="3D844EBA"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Thompson EL, Taylor DA, Nair SV, Birch G, Haynes PA, Raftos DA.</w:t>
      </w:r>
      <w:proofErr w:type="gramEnd"/>
      <w:r w:rsidRPr="00732DA8">
        <w:rPr>
          <w:rFonts w:ascii="Times" w:hAnsi="Times"/>
          <w:sz w:val="24"/>
        </w:rPr>
        <w:t xml:space="preserve"> (2011) </w:t>
      </w:r>
      <w:proofErr w:type="gramStart"/>
      <w:r w:rsidRPr="00732DA8">
        <w:rPr>
          <w:rFonts w:ascii="Times" w:hAnsi="Times"/>
          <w:sz w:val="24"/>
        </w:rPr>
        <w:t>A proteomic analysis of the effects of metal contamination on Sydney Rock Oyster (</w:t>
      </w:r>
      <w:r w:rsidRPr="00732DA8">
        <w:rPr>
          <w:rFonts w:ascii="Times" w:hAnsi="Times"/>
          <w:i/>
          <w:sz w:val="24"/>
        </w:rPr>
        <w:t>Saccostrea glomerata</w:t>
      </w:r>
      <w:r w:rsidRPr="00732DA8">
        <w:rPr>
          <w:rFonts w:ascii="Times" w:hAnsi="Times"/>
          <w:sz w:val="24"/>
        </w:rPr>
        <w:t>) haemolymph.</w:t>
      </w:r>
      <w:proofErr w:type="gramEnd"/>
      <w:r w:rsidRPr="00732DA8">
        <w:rPr>
          <w:rFonts w:ascii="Times" w:hAnsi="Times"/>
          <w:sz w:val="24"/>
        </w:rPr>
        <w:t xml:space="preserve"> Aquatic Toxicology. </w:t>
      </w:r>
      <w:proofErr w:type="gramStart"/>
      <w:r w:rsidRPr="00732DA8">
        <w:rPr>
          <w:rFonts w:ascii="Times" w:hAnsi="Times"/>
          <w:sz w:val="24"/>
        </w:rPr>
        <w:t>103: 241-249.</w:t>
      </w:r>
      <w:proofErr w:type="gramEnd"/>
    </w:p>
    <w:p w14:paraId="17CCFDA7"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Thompson EL, Taylor DA, Nair SV, Birch G, Hose GC, Raftos DA.</w:t>
      </w:r>
      <w:proofErr w:type="gramEnd"/>
      <w:r w:rsidRPr="00732DA8">
        <w:rPr>
          <w:rFonts w:ascii="Times" w:hAnsi="Times"/>
          <w:sz w:val="24"/>
        </w:rPr>
        <w:t xml:space="preserve"> (2012a) Proteomic analysis of Sydney Rock oysters (</w:t>
      </w:r>
      <w:r w:rsidRPr="00732DA8">
        <w:rPr>
          <w:rFonts w:ascii="Times" w:hAnsi="Times"/>
          <w:i/>
          <w:sz w:val="24"/>
        </w:rPr>
        <w:t>Saccostrea glomerata</w:t>
      </w:r>
      <w:r w:rsidRPr="00732DA8">
        <w:rPr>
          <w:rFonts w:ascii="Times" w:hAnsi="Times"/>
          <w:sz w:val="24"/>
        </w:rPr>
        <w:t xml:space="preserve">) exposed to metal contamination in the field. Environmental Pollution. </w:t>
      </w:r>
      <w:proofErr w:type="gramStart"/>
      <w:r w:rsidRPr="00732DA8">
        <w:rPr>
          <w:rFonts w:ascii="Times" w:hAnsi="Times"/>
          <w:sz w:val="24"/>
        </w:rPr>
        <w:t>170: 102-112.</w:t>
      </w:r>
      <w:proofErr w:type="gramEnd"/>
    </w:p>
    <w:p w14:paraId="2E2BBF78" w14:textId="77777777" w:rsidR="00732DA8" w:rsidRPr="00732DA8" w:rsidRDefault="00732DA8" w:rsidP="00732DA8">
      <w:pPr>
        <w:pStyle w:val="normal0"/>
        <w:spacing w:line="240" w:lineRule="auto"/>
        <w:rPr>
          <w:rFonts w:ascii="Times" w:hAnsi="Times"/>
          <w:sz w:val="24"/>
        </w:rPr>
      </w:pPr>
      <w:proofErr w:type="gramStart"/>
      <w:r w:rsidRPr="00732DA8">
        <w:rPr>
          <w:rFonts w:ascii="Times" w:hAnsi="Times"/>
          <w:sz w:val="24"/>
        </w:rPr>
        <w:t>Thompson EL, Taylor DA, Nair SV, Birch G, Haynes PA, Raftos DA</w:t>
      </w:r>
      <w:r w:rsidRPr="00732DA8">
        <w:rPr>
          <w:rFonts w:ascii="Times" w:hAnsi="Times"/>
          <w:i/>
          <w:sz w:val="24"/>
        </w:rPr>
        <w:t>.</w:t>
      </w:r>
      <w:proofErr w:type="gramEnd"/>
      <w:r w:rsidRPr="00732DA8">
        <w:rPr>
          <w:rFonts w:ascii="Times" w:hAnsi="Times"/>
          <w:sz w:val="24"/>
        </w:rPr>
        <w:t xml:space="preserve"> (2012b) Proteomic discovery of biomarkers of metal contamination in Sydney Rock oysters (</w:t>
      </w:r>
      <w:r w:rsidRPr="00732DA8">
        <w:rPr>
          <w:rFonts w:ascii="Times" w:hAnsi="Times"/>
          <w:i/>
          <w:sz w:val="24"/>
        </w:rPr>
        <w:t>Saccostrea glomerata</w:t>
      </w:r>
      <w:r w:rsidRPr="00732DA8">
        <w:rPr>
          <w:rFonts w:ascii="Times" w:hAnsi="Times"/>
          <w:sz w:val="24"/>
        </w:rPr>
        <w:t xml:space="preserve">). Aquatic Toxicology. </w:t>
      </w:r>
      <w:proofErr w:type="gramStart"/>
      <w:r w:rsidRPr="00732DA8">
        <w:rPr>
          <w:rFonts w:ascii="Times" w:hAnsi="Times"/>
          <w:sz w:val="24"/>
        </w:rPr>
        <w:t>109: 202-212.</w:t>
      </w:r>
      <w:proofErr w:type="gramEnd"/>
    </w:p>
    <w:p w14:paraId="5F5D233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Todgham AE, Hofmann GE. (2009) </w:t>
      </w:r>
      <w:proofErr w:type="gramStart"/>
      <w:r w:rsidRPr="00732DA8">
        <w:rPr>
          <w:rFonts w:ascii="Times" w:hAnsi="Times"/>
          <w:sz w:val="24"/>
        </w:rPr>
        <w:t xml:space="preserve">Transcriptomic response of sea urchin larvae </w:t>
      </w:r>
      <w:r w:rsidRPr="00732DA8">
        <w:rPr>
          <w:rFonts w:ascii="Times" w:hAnsi="Times"/>
          <w:i/>
          <w:sz w:val="24"/>
        </w:rPr>
        <w:t xml:space="preserve">Strongylocentrotus purpuratus </w:t>
      </w:r>
      <w:r w:rsidRPr="00732DA8">
        <w:rPr>
          <w:rFonts w:ascii="Times" w:hAnsi="Times"/>
          <w:sz w:val="24"/>
        </w:rPr>
        <w:t>to CO</w:t>
      </w:r>
      <w:r w:rsidRPr="00732DA8">
        <w:rPr>
          <w:rFonts w:ascii="Times" w:hAnsi="Times"/>
          <w:sz w:val="24"/>
          <w:vertAlign w:val="subscript"/>
        </w:rPr>
        <w:t>2</w:t>
      </w:r>
      <w:r w:rsidRPr="00732DA8">
        <w:rPr>
          <w:rFonts w:ascii="Times" w:hAnsi="Times"/>
          <w:sz w:val="24"/>
        </w:rPr>
        <w:t>-driven seawater acidification.</w:t>
      </w:r>
      <w:proofErr w:type="gramEnd"/>
      <w:r w:rsidRPr="00732DA8">
        <w:rPr>
          <w:rFonts w:ascii="Times" w:hAnsi="Times"/>
          <w:sz w:val="24"/>
        </w:rPr>
        <w:t xml:space="preserve"> </w:t>
      </w:r>
      <w:proofErr w:type="gramStart"/>
      <w:r w:rsidRPr="00732DA8">
        <w:rPr>
          <w:rFonts w:ascii="Times" w:hAnsi="Times"/>
          <w:sz w:val="24"/>
        </w:rPr>
        <w:t>Journal of Experimental Biology.</w:t>
      </w:r>
      <w:proofErr w:type="gramEnd"/>
      <w:r w:rsidRPr="00732DA8">
        <w:rPr>
          <w:rFonts w:ascii="Times" w:hAnsi="Times"/>
          <w:sz w:val="24"/>
        </w:rPr>
        <w:t xml:space="preserve"> </w:t>
      </w:r>
      <w:proofErr w:type="gramStart"/>
      <w:r w:rsidRPr="00732DA8">
        <w:rPr>
          <w:rFonts w:ascii="Times" w:hAnsi="Times"/>
          <w:sz w:val="24"/>
        </w:rPr>
        <w:t>212: 2579-2594.</w:t>
      </w:r>
      <w:proofErr w:type="gramEnd"/>
      <w:r w:rsidRPr="00732DA8">
        <w:rPr>
          <w:rFonts w:ascii="Times" w:hAnsi="Times"/>
          <w:sz w:val="24"/>
        </w:rPr>
        <w:t xml:space="preserve"> </w:t>
      </w:r>
    </w:p>
    <w:p w14:paraId="131D509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Tomanek L, Zuzow MJ, Ivanina AV, Beniash E, Sokolova IM</w:t>
      </w:r>
      <w:r w:rsidRPr="00732DA8">
        <w:rPr>
          <w:rFonts w:ascii="Times" w:hAnsi="Times"/>
          <w:i/>
          <w:sz w:val="24"/>
        </w:rPr>
        <w:t>.</w:t>
      </w:r>
      <w:r w:rsidRPr="00732DA8">
        <w:rPr>
          <w:rFonts w:ascii="Times" w:hAnsi="Times"/>
          <w:sz w:val="24"/>
        </w:rPr>
        <w:t xml:space="preserve"> (2011) Proteomic response to elevated P</w:t>
      </w:r>
      <w:r w:rsidRPr="00732DA8">
        <w:rPr>
          <w:rFonts w:ascii="Times" w:hAnsi="Times"/>
          <w:sz w:val="24"/>
          <w:vertAlign w:val="subscript"/>
        </w:rPr>
        <w:t>CO2</w:t>
      </w:r>
      <w:r w:rsidRPr="00732DA8">
        <w:rPr>
          <w:rFonts w:ascii="Times" w:hAnsi="Times"/>
          <w:sz w:val="24"/>
        </w:rPr>
        <w:t xml:space="preserve"> level in eastern oysters, </w:t>
      </w:r>
      <w:r w:rsidRPr="00732DA8">
        <w:rPr>
          <w:rFonts w:ascii="Times" w:hAnsi="Times"/>
          <w:i/>
          <w:sz w:val="24"/>
        </w:rPr>
        <w:t>Crassostrea virginica</w:t>
      </w:r>
      <w:r w:rsidRPr="00732DA8">
        <w:rPr>
          <w:rFonts w:ascii="Times" w:hAnsi="Times"/>
          <w:sz w:val="24"/>
        </w:rPr>
        <w:t xml:space="preserve">: evidence for oxidative stress. </w:t>
      </w:r>
      <w:proofErr w:type="gramStart"/>
      <w:r w:rsidRPr="00732DA8">
        <w:rPr>
          <w:rFonts w:ascii="Times" w:hAnsi="Times"/>
          <w:sz w:val="24"/>
        </w:rPr>
        <w:t>Journal of Experimental Biology.</w:t>
      </w:r>
      <w:proofErr w:type="gramEnd"/>
      <w:r w:rsidRPr="00732DA8">
        <w:rPr>
          <w:rFonts w:ascii="Times" w:hAnsi="Times"/>
          <w:sz w:val="24"/>
        </w:rPr>
        <w:t xml:space="preserve"> </w:t>
      </w:r>
      <w:proofErr w:type="gramStart"/>
      <w:r w:rsidRPr="00732DA8">
        <w:rPr>
          <w:rFonts w:ascii="Times" w:hAnsi="Times"/>
          <w:sz w:val="24"/>
        </w:rPr>
        <w:t>214: 1836-1844.</w:t>
      </w:r>
      <w:proofErr w:type="gramEnd"/>
      <w:r w:rsidRPr="00732DA8">
        <w:rPr>
          <w:rFonts w:ascii="Times" w:hAnsi="Times"/>
          <w:sz w:val="24"/>
        </w:rPr>
        <w:t xml:space="preserve"> </w:t>
      </w:r>
    </w:p>
    <w:p w14:paraId="66A9BF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Wang S, Peatman E, Hong L, </w:t>
      </w:r>
      <w:r w:rsidRPr="00732DA8">
        <w:rPr>
          <w:rFonts w:ascii="Times" w:hAnsi="Times"/>
          <w:i/>
          <w:sz w:val="24"/>
        </w:rPr>
        <w:t>et al</w:t>
      </w:r>
      <w:r w:rsidRPr="00732DA8">
        <w:rPr>
          <w:rFonts w:ascii="Times" w:hAnsi="Times"/>
          <w:sz w:val="24"/>
        </w:rPr>
        <w:t>. (2010) Microarray analysis of gene expression in eastern oyster (</w:t>
      </w:r>
      <w:r w:rsidRPr="00732DA8">
        <w:rPr>
          <w:rFonts w:ascii="Times" w:hAnsi="Times"/>
          <w:i/>
          <w:sz w:val="24"/>
        </w:rPr>
        <w:t>Crassostrea virginica</w:t>
      </w:r>
      <w:r w:rsidRPr="00732DA8">
        <w:rPr>
          <w:rFonts w:ascii="Times" w:hAnsi="Times"/>
          <w:sz w:val="24"/>
        </w:rPr>
        <w:t>) reveals a novel combination of antimicrobial and oxidative stress host responses after dermo (</w:t>
      </w:r>
      <w:r w:rsidRPr="00732DA8">
        <w:rPr>
          <w:rFonts w:ascii="Times" w:hAnsi="Times"/>
          <w:i/>
          <w:sz w:val="24"/>
        </w:rPr>
        <w:t>Perkinsus marinus</w:t>
      </w:r>
      <w:r w:rsidRPr="00732DA8">
        <w:rPr>
          <w:rFonts w:ascii="Times" w:hAnsi="Times"/>
          <w:sz w:val="24"/>
        </w:rPr>
        <w:t xml:space="preserve">) challenge. </w:t>
      </w:r>
      <w:proofErr w:type="gramStart"/>
      <w:r w:rsidRPr="00732DA8">
        <w:rPr>
          <w:rFonts w:ascii="Times" w:hAnsi="Times"/>
          <w:sz w:val="24"/>
        </w:rPr>
        <w:t>Fish &amp; Shellfish Immunology.</w:t>
      </w:r>
      <w:proofErr w:type="gramEnd"/>
      <w:r w:rsidRPr="00732DA8">
        <w:rPr>
          <w:rFonts w:ascii="Times" w:hAnsi="Times"/>
          <w:sz w:val="24"/>
        </w:rPr>
        <w:t xml:space="preserve"> </w:t>
      </w:r>
      <w:proofErr w:type="gramStart"/>
      <w:r w:rsidRPr="00732DA8">
        <w:rPr>
          <w:rFonts w:ascii="Times" w:hAnsi="Times"/>
          <w:sz w:val="24"/>
        </w:rPr>
        <w:t>29: 921-929.</w:t>
      </w:r>
      <w:proofErr w:type="gramEnd"/>
    </w:p>
    <w:p w14:paraId="19366463"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Yates JR, Ruse CI, Nakorchevsky A</w:t>
      </w:r>
      <w:r w:rsidRPr="00732DA8">
        <w:rPr>
          <w:rFonts w:ascii="Times" w:hAnsi="Times"/>
          <w:i/>
          <w:sz w:val="24"/>
        </w:rPr>
        <w:t>.</w:t>
      </w:r>
      <w:r w:rsidRPr="00732DA8">
        <w:rPr>
          <w:rFonts w:ascii="Times" w:hAnsi="Times"/>
          <w:sz w:val="24"/>
        </w:rPr>
        <w:t xml:space="preserve"> (2009) Proteomics by Mass Spectrometry: Approaches, Advances, and Applications. </w:t>
      </w:r>
      <w:proofErr w:type="gramStart"/>
      <w:r w:rsidRPr="00732DA8">
        <w:rPr>
          <w:rFonts w:ascii="Times" w:hAnsi="Times"/>
          <w:sz w:val="24"/>
        </w:rPr>
        <w:t>Annual Review of Biomedical Engineering.</w:t>
      </w:r>
      <w:proofErr w:type="gramEnd"/>
      <w:r w:rsidRPr="00732DA8">
        <w:rPr>
          <w:rFonts w:ascii="Times" w:hAnsi="Times"/>
          <w:sz w:val="24"/>
        </w:rPr>
        <w:t xml:space="preserve"> 11: 49-79. </w:t>
      </w:r>
    </w:p>
    <w:p w14:paraId="32A5686B" w14:textId="56B5F4E4" w:rsidR="00732DA8" w:rsidRPr="00732DA8" w:rsidRDefault="00732DA8" w:rsidP="00732DA8">
      <w:pPr>
        <w:rPr>
          <w:rFonts w:ascii="Times" w:hAnsi="Times"/>
        </w:rPr>
      </w:pPr>
      <w:proofErr w:type="gramStart"/>
      <w:r w:rsidRPr="00732DA8">
        <w:rPr>
          <w:rFonts w:ascii="Times" w:hAnsi="Times"/>
        </w:rPr>
        <w:t xml:space="preserve">Zhang G, Fang X, Guo X, </w:t>
      </w:r>
      <w:r w:rsidRPr="00732DA8">
        <w:rPr>
          <w:rFonts w:ascii="Times" w:hAnsi="Times"/>
          <w:i/>
        </w:rPr>
        <w:t>et al.</w:t>
      </w:r>
      <w:r w:rsidRPr="00732DA8">
        <w:rPr>
          <w:rFonts w:ascii="Times" w:hAnsi="Times"/>
        </w:rPr>
        <w:t xml:space="preserve"> (2012) The oyster genome reveals stress adaptation and complexity of shell formation.</w:t>
      </w:r>
      <w:proofErr w:type="gramEnd"/>
      <w:r w:rsidRPr="00732DA8">
        <w:rPr>
          <w:rFonts w:ascii="Times" w:hAnsi="Times"/>
        </w:rPr>
        <w:t xml:space="preserve"> Nature. </w:t>
      </w:r>
      <w:proofErr w:type="gramStart"/>
      <w:r w:rsidRPr="00732DA8">
        <w:rPr>
          <w:rFonts w:ascii="Times" w:hAnsi="Times"/>
        </w:rPr>
        <w:t>490: 49-54.</w:t>
      </w:r>
      <w:proofErr w:type="gramEnd"/>
    </w:p>
    <w:p w14:paraId="566CBCBA" w14:textId="77777777" w:rsidR="00C85C10" w:rsidRDefault="00C85C10" w:rsidP="00C02D9B">
      <w:pPr>
        <w:pStyle w:val="Heading1"/>
      </w:pPr>
    </w:p>
    <w:p w14:paraId="765BB42C" w14:textId="77777777" w:rsidR="009079FD" w:rsidRDefault="009079FD" w:rsidP="00C02D9B">
      <w:pPr>
        <w:pStyle w:val="Heading1"/>
      </w:pPr>
    </w:p>
    <w:p w14:paraId="371BEAF4" w14:textId="77777777" w:rsidR="009079FD" w:rsidRDefault="009079FD" w:rsidP="00C02D9B">
      <w:pPr>
        <w:pStyle w:val="Heading1"/>
      </w:pPr>
    </w:p>
    <w:p w14:paraId="45116CEE" w14:textId="77777777" w:rsidR="009079FD" w:rsidRDefault="009079FD" w:rsidP="00C02D9B">
      <w:pPr>
        <w:pStyle w:val="Heading1"/>
      </w:pPr>
    </w:p>
    <w:p w14:paraId="488CBB94" w14:textId="77777777" w:rsidR="009079FD" w:rsidRDefault="009079FD" w:rsidP="009079FD"/>
    <w:p w14:paraId="5A0503CA" w14:textId="77777777" w:rsidR="009079FD" w:rsidRDefault="009079FD" w:rsidP="009079FD"/>
    <w:p w14:paraId="0D6F5339" w14:textId="77777777" w:rsidR="009079FD" w:rsidRDefault="009079FD" w:rsidP="009079FD"/>
    <w:p w14:paraId="02D86855" w14:textId="77777777" w:rsidR="009079FD" w:rsidRDefault="009079FD" w:rsidP="009079FD"/>
    <w:p w14:paraId="43274851" w14:textId="77777777" w:rsidR="009079FD" w:rsidRDefault="009079FD" w:rsidP="009079FD"/>
    <w:p w14:paraId="18732FEF" w14:textId="4A6CECDA" w:rsidR="00C02D9B" w:rsidRDefault="00C02D9B" w:rsidP="009079FD">
      <w:pPr>
        <w:pStyle w:val="Heading1"/>
      </w:pPr>
      <w:bookmarkStart w:id="43" w:name="_Toc252110007"/>
      <w:r>
        <w:t xml:space="preserve">Chapter III:  </w:t>
      </w:r>
      <w:r w:rsidR="00426D9F">
        <w:t>From shell deposition to protein expression: An integrative assessment of ocean acidification impacts on a marine invertebrate</w:t>
      </w:r>
      <w:bookmarkEnd w:id="43"/>
    </w:p>
    <w:p w14:paraId="1D80C13F" w14:textId="77777777" w:rsidR="00732DA8" w:rsidRDefault="00732DA8" w:rsidP="00732DA8"/>
    <w:p w14:paraId="6F824F5F" w14:textId="302DE186" w:rsidR="00732DA8" w:rsidRPr="00FA07E7" w:rsidRDefault="00732DA8" w:rsidP="00732DA8">
      <w:pPr>
        <w:rPr>
          <w:rFonts w:ascii="Times" w:hAnsi="Times"/>
        </w:rPr>
      </w:pPr>
      <w:r w:rsidRPr="00FA07E7">
        <w:rPr>
          <w:rFonts w:ascii="Times" w:hAnsi="Times"/>
        </w:rPr>
        <w:t>Submitted to Journal of Experimental Biology</w:t>
      </w:r>
    </w:p>
    <w:p w14:paraId="752BE645" w14:textId="68C5A7EE" w:rsidR="00732DA8" w:rsidRPr="00FA07E7" w:rsidRDefault="00732DA8" w:rsidP="00732DA8">
      <w:pPr>
        <w:rPr>
          <w:rFonts w:ascii="Times" w:hAnsi="Times"/>
        </w:rPr>
      </w:pPr>
      <w:r w:rsidRPr="00FA07E7">
        <w:rPr>
          <w:rFonts w:ascii="Times" w:hAnsi="Times"/>
        </w:rPr>
        <w:t>Co-authors: William D. Coffey, Wilber Hua, Brook L. Nunn, Gary H. Dickinson, Steven B. Roberts</w:t>
      </w:r>
    </w:p>
    <w:p w14:paraId="160291F2" w14:textId="77777777" w:rsidR="00C02D9B" w:rsidRDefault="00C02D9B" w:rsidP="00C02D9B">
      <w:pPr>
        <w:pStyle w:val="Heading2"/>
      </w:pPr>
      <w:bookmarkStart w:id="44" w:name="_Toc252110008"/>
      <w:r>
        <w:t>Abstract</w:t>
      </w:r>
      <w:bookmarkEnd w:id="44"/>
    </w:p>
    <w:p w14:paraId="24910A49" w14:textId="77777777" w:rsidR="00C85C10" w:rsidRPr="00C85C10" w:rsidRDefault="00C85C10" w:rsidP="00C85C10"/>
    <w:p w14:paraId="0D41F7DB" w14:textId="3C3DB143" w:rsidR="00732DA8" w:rsidRPr="00732DA8" w:rsidRDefault="00EA3E29" w:rsidP="00EA3E29">
      <w:pPr>
        <w:spacing w:line="360" w:lineRule="auto"/>
      </w:pPr>
      <w:r w:rsidRPr="00183126">
        <w:rPr>
          <w:rFonts w:ascii="Times" w:hAnsi="Times"/>
          <w:szCs w:val="22"/>
        </w:rPr>
        <w:t>Ocean acidification as a result of increased anthropogenic CO</w:t>
      </w:r>
      <w:r w:rsidRPr="00183126">
        <w:rPr>
          <w:rFonts w:ascii="Times" w:hAnsi="Times"/>
          <w:szCs w:val="22"/>
          <w:vertAlign w:val="subscript"/>
        </w:rPr>
        <w:t>2</w:t>
      </w:r>
      <w:r w:rsidRPr="00183126">
        <w:rPr>
          <w:rFonts w:ascii="Times" w:hAnsi="Times"/>
          <w:szCs w:val="22"/>
        </w:rPr>
        <w:t xml:space="preserve"> emissions is occurring in marine and estuarine environments worldwide.  The coastal ocean experiences additional daily and seasonal fluctuations in pH that attain and exceed projected end of century open ocean pH reductions.  In order to assess the impact of ocean acidification on marine invertebrates, Pacific oysters (</w:t>
      </w:r>
      <w:r w:rsidRPr="00183126">
        <w:rPr>
          <w:rFonts w:ascii="Times" w:hAnsi="Times"/>
          <w:i/>
          <w:szCs w:val="22"/>
        </w:rPr>
        <w:t>Crassostrea gigas</w:t>
      </w:r>
      <w:r w:rsidRPr="00183126">
        <w:rPr>
          <w:rFonts w:ascii="Times" w:hAnsi="Times"/>
          <w:szCs w:val="22"/>
        </w:rPr>
        <w:t xml:space="preserve">) were exposed to one of four different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 xml:space="preserve">2 </w:t>
      </w:r>
      <w:r w:rsidRPr="00183126">
        <w:rPr>
          <w:rFonts w:ascii="Times" w:hAnsi="Times"/>
          <w:szCs w:val="22"/>
        </w:rPr>
        <w:t xml:space="preserve">levels for four weeks: 400 µatm (pH 8.0), 800 µatm (pH 7.7), 1000 µatm (pH 7.6), or 2800 µatm (pH 7.3).  Oysters in all four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 xml:space="preserve">2 </w:t>
      </w:r>
      <w:r w:rsidRPr="00183126">
        <w:rPr>
          <w:rFonts w:ascii="Times" w:hAnsi="Times"/>
          <w:szCs w:val="22"/>
        </w:rPr>
        <w:t xml:space="preserve">environments deposited new shell during the experiment, but growth rate was not different among the treatments.  However, micromechanical properties of the new shell were compromised by elevated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2</w:t>
      </w:r>
      <w:r w:rsidRPr="00183126">
        <w:rPr>
          <w:rFonts w:ascii="Times" w:hAnsi="Times"/>
          <w:szCs w:val="22"/>
        </w:rPr>
        <w:t xml:space="preserve">.  Elevated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 xml:space="preserve">2 </w:t>
      </w:r>
      <w:r w:rsidRPr="00183126">
        <w:rPr>
          <w:rFonts w:ascii="Times" w:hAnsi="Times"/>
          <w:szCs w:val="22"/>
        </w:rPr>
        <w:t xml:space="preserve">affected neither whole body fatty acid composition nor mortality rate associated with acute heat shock.  Shotgun proteomics revealed that several physiological pathways were significantly affected by ocean acidification, including antioxidant response (4 proteins differentially expressed), carbohydrate metabolism (13 proteins), and </w:t>
      </w:r>
      <w:r>
        <w:rPr>
          <w:rFonts w:ascii="Times" w:hAnsi="Times"/>
          <w:szCs w:val="22"/>
        </w:rPr>
        <w:t>transcription and translation</w:t>
      </w:r>
      <w:r w:rsidRPr="00183126">
        <w:rPr>
          <w:rFonts w:ascii="Times" w:hAnsi="Times"/>
          <w:szCs w:val="22"/>
        </w:rPr>
        <w:t xml:space="preserve"> (7</w:t>
      </w:r>
      <w:r>
        <w:rPr>
          <w:rFonts w:ascii="Times" w:hAnsi="Times"/>
          <w:szCs w:val="22"/>
        </w:rPr>
        <w:t>4</w:t>
      </w:r>
      <w:r w:rsidRPr="00183126">
        <w:rPr>
          <w:rFonts w:ascii="Times" w:hAnsi="Times"/>
          <w:szCs w:val="22"/>
        </w:rPr>
        <w:t xml:space="preserve"> proteins). Additionally, the proteomic response to a second stress differed with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2</w:t>
      </w:r>
      <w:r w:rsidRPr="00183126">
        <w:rPr>
          <w:rFonts w:ascii="Times" w:hAnsi="Times"/>
          <w:szCs w:val="22"/>
        </w:rPr>
        <w:t xml:space="preserve">, with numerous processes significantly affected by mechanical stimulation at high versus low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2</w:t>
      </w:r>
      <w:r w:rsidRPr="00183126">
        <w:rPr>
          <w:rFonts w:ascii="Times" w:hAnsi="Times"/>
          <w:szCs w:val="22"/>
        </w:rPr>
        <w:t>.  These data contribute to an integrative view of the effects of ocean acidification on oysters as well as physiological trade-offs during environmental stress.</w:t>
      </w:r>
    </w:p>
    <w:p w14:paraId="7BA5AFE3" w14:textId="77777777" w:rsidR="00C02D9B" w:rsidRDefault="00C02D9B" w:rsidP="00C02D9B">
      <w:pPr>
        <w:pStyle w:val="Heading2"/>
      </w:pPr>
      <w:bookmarkStart w:id="45" w:name="_Toc252110009"/>
      <w:r>
        <w:t>Introduction</w:t>
      </w:r>
      <w:bookmarkEnd w:id="45"/>
    </w:p>
    <w:p w14:paraId="6B444D69" w14:textId="77777777" w:rsidR="00C85C10" w:rsidRPr="00C85C10" w:rsidRDefault="00C85C10" w:rsidP="00C85C10"/>
    <w:p w14:paraId="7B9E8FE3" w14:textId="77777777" w:rsidR="00EA3E29" w:rsidRPr="00EA3E29" w:rsidRDefault="00EA3E29" w:rsidP="00EA3E29">
      <w:pPr>
        <w:pStyle w:val="normal0"/>
        <w:spacing w:line="360" w:lineRule="auto"/>
        <w:ind w:firstLine="720"/>
        <w:rPr>
          <w:rFonts w:ascii="Times" w:hAnsi="Times"/>
          <w:sz w:val="24"/>
        </w:rPr>
      </w:pPr>
      <w:r w:rsidRPr="00EA3E29">
        <w:rPr>
          <w:rFonts w:ascii="Times" w:hAnsi="Times"/>
          <w:sz w:val="24"/>
        </w:rPr>
        <w:t xml:space="preserve">Current measurements of surface ocean pH have revealed decreases that are in accordance with modeled predictions of a pH decline of at least 0.3 units corresponding to atmospheric </w:t>
      </w:r>
      <w:r w:rsidRPr="00EA3E29">
        <w:rPr>
          <w:rFonts w:ascii="Times" w:hAnsi="Times"/>
          <w:i/>
          <w:sz w:val="24"/>
        </w:rPr>
        <w:t>p</w:t>
      </w:r>
      <w:r w:rsidRPr="00EA3E29">
        <w:rPr>
          <w:rFonts w:ascii="Times" w:hAnsi="Times"/>
          <w:sz w:val="24"/>
        </w:rPr>
        <w:t>CO</w:t>
      </w:r>
      <w:r w:rsidRPr="00EA3E29">
        <w:rPr>
          <w:rFonts w:ascii="Times" w:hAnsi="Times"/>
          <w:sz w:val="24"/>
          <w:vertAlign w:val="subscript"/>
        </w:rPr>
        <w:t xml:space="preserve">2 </w:t>
      </w:r>
      <w:r w:rsidRPr="00EA3E29">
        <w:rPr>
          <w:rFonts w:ascii="Times" w:hAnsi="Times"/>
          <w:sz w:val="24"/>
        </w:rPr>
        <w:t xml:space="preserve">of 650-970 ppm by the year 2100 </w:t>
      </w:r>
      <w:r w:rsidRPr="00EA3E29">
        <w:rPr>
          <w:rFonts w:ascii="Times" w:hAnsi="Times"/>
          <w:sz w:val="24"/>
        </w:rPr>
        <w:fldChar w:fldCharType="begin" w:fldLock="1"/>
      </w:r>
      <w:r w:rsidRPr="00EA3E29">
        <w:rPr>
          <w:rFonts w:ascii="Times" w:hAnsi="Times"/>
          <w:sz w:val="24"/>
        </w:rPr>
        <w:instrText>ADDIN CSL_CITATION { "citationItems" : [ { "id" : "ITEM-1", "itemData" : { "DOI" : "10.1038/nature04095", "ISSN" : "1476-4687", "PMID" : "16193043", "abstract" : "Today's surface ocean is saturated with respect to calcium carbonate, but increasing atmospheric carbon dioxide concentrations are reducing ocean pH and carbonate ion concentrations, and thus the level of calcium carbonate saturation. Experimental evidence suggests that if these trends continue, key marine organisms--such as corals and some plankton--will have difficulty maintaining their external calcium carbonate skeletons. Here we use 13 models of the ocean-carbon cycle to assess calcium carbonate saturation under the IS92a 'business-as-usual' scenario for future emissions of anthropogenic carbon dioxide. In our projections, Southern Ocean surface waters will begin to become undersaturated with respect to aragonite, a metastable form of calcium carbonate, by the year 2050. By 2100, this undersaturation could extend throughout the entire Southern Ocean and into the subarctic Pacific Ocean. When live pteropods were exposed to our predicted level of undersaturation during a two-day shipboard experiment, their aragonite shells showed notable dissolution. Our findings indicate that conditions detrimental to high-latitude ecosystems could develop within decades, not centuries as suggested previously.", "author" : [ { "dropping-particle" : "", "family" : "Orr", "given" : "James C", "non-dropping-particle" : "", "parse-names" : false, "suffix" : "" }, { "dropping-particle" : "", "family" : "Fabry", "given" : "Victoria J", "non-dropping-particle" : "", "parse-names" : false, "suffix" : "" }, { "dropping-particle" : "", "family" : "Aumont", "given" : "Olivier", "non-dropping-particle" : "", "parse-names" : false, "suffix" : "" }, { "dropping-particle" : "", "family" : "Bopp", "given" : "Laurent", "non-dropping-particle" : "", "parse-names" : false, "suffix" : "" }, { "dropping-particle" : "", "family" : "Doney", "given" : "Scott C", "non-dropping-particle" : "", "parse-names" : false, "suffix" : "" }, { "dropping-particle" : "", "family" : "Feely", "given" : "Richard a", "non-dropping-particle" : "", "parse-names" : false, "suffix" : "" }, { "dropping-particle" : "", "family" : "Gnanadesikan", "given" : "Anand", "non-dropping-particle" : "", "parse-names" : false, "suffix" : "" }, { "dropping-particle" : "", "family" : "Gruber", "given" : "Nicolas", "non-dropping-particle" : "", "parse-names" : false, "suffix" : "" }, { "dropping-particle" : "", "family" : "Ishida", "given" : "Akio", "non-dropping-particle" : "", "parse-names" : false, "suffix" : "" }, { "dropping-particle" : "", "family" : "Joos", "given" : "Fortunat", "non-dropping-particle" : "", "parse-names" : false, "suffix" : "" }, { "dropping-particle" : "", "family" : "Key", "given" : "Robert M", "non-dropping-particle" : "", "parse-names" : false, "suffix" : "" }, { "dropping-particle" : "", "family" : "Lindsay", "given" : "Keith", "non-dropping-particle" : "", "parse-names" : false, "suffix" : "" }, { "dropping-particle" : "", "family" : "Maier-Reimer", "given" : "Ernst", "non-dropping-particle" : "", "parse-names" : false, "suffix" : "" }, { "dropping-particle" : "", "family" : "Matear", "given" : "Richard", "non-dropping-particle" : "", "parse-names" : false, "suffix" : "" }, { "dropping-particle" : "", "family" : "Monfray", "given" : "Patrick", "non-dropping-particle" : "", "parse-names" : false, "suffix" : "" }, { "dropping-particle" : "", "family" : "Mouchet", "given" : "Anne", "non-dropping-particle" : "", "parse-names" : false, "suffix" : "" }, { "dropping-particle" : "", "family" : "Najjar", "given" : "Raymond G", "non-dropping-particle" : "", "parse-names" : false, "suffix" : "" }, { "dropping-particle" : "", "family" : "Plattner", "given" : "Gian-Kasper", "non-dropping-particle" : "", "parse-names" : false, "suffix" : "" }, { "dropping-particle" : "", "family" : "Rodgers", "given" : "Keith B", "non-dropping-particle" : "", "parse-names" : false, "suffix" : "" }, { "dropping-particle" : "", "family" : "Sabine", "given" : "Christopher L", "non-dropping-particle" : "", "parse-names" : false, "suffix" : "" }, { "dropping-particle" : "", "family" : "Sarmiento", "given" : "Jorge L", "non-dropping-particle" : "", "parse-names" : false, "suffix" : "" }, { "dropping-particle" : "", "family" : "Schlitzer", "given" : "Reiner", "non-dropping-particle" : "", "parse-names" : false, "suffix" : "" }, { "dropping-particle" : "", "family" : "Slater", "given" : "Richard D", "non-dropping-particle" : "", "parse-names" : false, "suffix" : "" }, { "dropping-particle" : "", "family" : "Totterdell", "given" : "Ian J", "non-dropping-particle" : "", "parse-names" : false, "suffix" : "" }, { "dropping-particle" : "", "family" : "Weirig", "given" : "Marie-France", "non-dropping-particle" : "", "parse-names" : false, "suffix" : "" }, { "dropping-particle" : "", "family" : "Yamanaka", "given" : "Yasuhiro", "non-dropping-particle" : "", "parse-names" : false, "suffix" : "" }, { "dropping-particle" : "", "family" : "Yool", "given" : "Andrew", "non-dropping-particle" : "", "parse-names" : false, "suffix" : "" } ], "container-title" : "Nature", "id" : "ITEM-1", "issue" : "7059", "issued" : { "date-parts" : [ [ "2005", "9", "29" ] ] }, "page" : "681-6", "title" : "Anthropogenic ocean acidification over the twenty-first century and its impact on calcifying organisms.", "type" : "article-journal", "volume" : "437" }, "uris" : [ "http://www.mendeley.com/documents/?uuid=946e2980-460f-4595-b245-42a04b066312" ] }, { "id" : "ITEM-2",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"ITEM-2", "issue" : "C9", "issued" : { "date-parts" : [ [ "2005" ] ] }, "page" : "C09S04", "title" : "Ocean model predictions of chemistry changes from carbon dioxide emissions to the atmosphere and ocean", "type" : "article-journal", "volume" : "110" }, "uris" : [ "http://www.mendeley.com/documents/?uuid=54c72917-b3d0-444a-86a1-e0985006d608" ] }, { "id" : "ITEM-3",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"ITEM-3",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"id" : "ITEM-4",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"ITEM-4", "issue" : "3", "issued" : { "date-parts" : [ [ "2012", "9", "4" ] ] }, "page" : "GB3001", "title" : "Decadal changes in the aragonite and calcite saturation state of the Pacific Ocean", "type" : "article-journal", "volume" : "26" }, "uris" : [ "http://www.mendeley.com/documents/?uuid=5f9af3fa-4819-4b6f-ad16-2e10bfb13f85" ] }, { "id" : "ITEM-5",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"id" : "ITEM-5", "issue" : "6091", "issued" : { "date-parts" : [ [ "2012", "7", "13" ] ] }, "page" : "220-3", "title" : "Rapid progression of ocean acidification in the California Current System.", "type" : "article-journal", "volume" : "337" }, "uris" : [ "http://www.mendeley.com/documents/?uuid=fd7f6cce-a586-4e59-8a90-9d2acdda7f94" ] }, { "id" : "ITEM-6", "itemData" : { "id" : "ITEM-6", "issued" : { "date-parts" : [ [ "0" ] ] }, "title" : "friedrich 2012", "type" : "article" }, "uris" : [ "http://www.mendeley.com/documents/?uuid=0e9b736f-9da4-44a4-b4b5-f40ad50112c2" ] }, { "id" : "ITEM-7", "itemData" : { "DOI" : "10.1038/NCLIMATE1372", "author" : [ { "dropping-particle" : "", "family" : "Friedrich", "given" : "T", "non-dropping-particle" : "", "parse-names" : false, "suffix" : "" }, { "dropping-particle" : "", "family" : "Timmermann", "given" : "A", "non-dropping-particle" : "", "parse-names" : false, "suffix" : "" }, { "dropping-particle" : "", "family" : "Bates", "given" : "N R", "non-dropping-particle" : "", "parse-names" : false, "suffix" : "" }, { "dropping-particle" : "", "family" : "Chikamoto", "given" : "M O", "non-dropping-particle" : "", "parse-names" : false, "suffix" : "" }, { "dropping-particle" : "", "family" : "Church", "given" : "M J", "non-dropping-particle" : "", "parse-names" : false, "suffix" : "" }, { "dropping-particle" : "", "family" : "Dore", "given" : "J E", "non-dropping-particle" : "", "parse-names" : false, "suffix" : "" }, { "dropping-particle" : "", "family" : "Gledhill", "given" : "D K", "non-dropping-particle" : "", "parse-names" : false, "suffix" : "" }, { "dropping-particle" : "", "family" : "Heinemann", "given" : "M", "non-dropping-particle" : "", "parse-names" : false, "suffix" : "" }, { "dropping-particle" : "", "family" : "Ilyina", "given" : "T", "non-dropping-particle" : "", "parse-names" : false, "suffix" : "" }, { "dropping-particle" : "", "family" : "Jungclaus", "given" : "J H", "non-dropping-particle" : "", "parse-names" : false, "suffix" : "" }, { "dropping-particle" : "", "family" : "Mcleod", "given" : "E", "non-dropping-particle" : "", "parse-names" : false, "suffix" : "" }, { "dropping-particle" : "", "family" : "Mouchet", "given" : "A", "non-dropping-particle" : "", "parse-names" : false, "suffix" : "" } ], "id" : "ITEM-7", "issue" : "March", "issued" : { "date-parts" : [ [ "2012" ] ] }, "page" : "167-171", "title" : "Detecting regional anthropogenic trends in ocean acidification against natural variability", "type" : "article-journal", "volume" : "2" }, "uris" : [ "http://www.mendeley.com/documents/?uuid=75ac8fa9-cf36-4025-acb8-2a8b19963314" ] } ], "mendeley" : { "manualFormatting" : "(Caldeira and Wickett, 2005; Feely et al., 2010, 2012; Friedrich et al., 2012; Gruber et al., 2012; Orr et al., 2005)", "previouslyFormattedCitation" : "(Caldeira &amp; Wickett, 2005; R. a. Feely et al., 2010; R. A. Feely et al., 2012; \u201cfriedrich 2012,\u201d n.d.; Friedrich et al., 2012; Gruber et al., 2012; Orr et al., 2005)"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(Caldeira and Wickett, 2005; Feely et al., 2010, 2012; Friedrich et al., 2012; Gruber et al., 2012; Orr et al., 2005)</w:t>
      </w:r>
      <w:r w:rsidRPr="00EA3E29">
        <w:rPr>
          <w:rFonts w:ascii="Times" w:hAnsi="Times"/>
          <w:sz w:val="24"/>
        </w:rPr>
        <w:fldChar w:fldCharType="end"/>
      </w:r>
      <w:r w:rsidRPr="00EA3E29">
        <w:rPr>
          <w:rFonts w:ascii="Times" w:hAnsi="Times"/>
          <w:sz w:val="24"/>
        </w:rPr>
        <w:t xml:space="preserve">.  The coastal ocean, home to productive fisheries and diverse ecosystems, may see even greater changes in pH due to natural processes (i.e. hydrography, freshwater input, and biological activity) and a plethora of anthropogenic effects (i.e. deforestation, agriculture, mining, increasing population sizes) (reviewed in </w:t>
      </w:r>
      <w:r w:rsidRPr="00EA3E29">
        <w:rPr>
          <w:rFonts w:ascii="Times" w:hAnsi="Times"/>
          <w:sz w:val="24"/>
        </w:rPr>
        <w:fldChar w:fldCharType="begin" w:fldLock="1"/>
      </w:r>
      <w:r w:rsidRPr="00EA3E29">
        <w:rPr>
          <w:rFonts w:ascii="Times" w:hAnsi="Times"/>
          <w:sz w:val="24"/>
        </w:rPr>
        <w:instrText>ADDIN CSL_CITATION { "citationItems" : [ { "id" : "ITEM-1", "itemData" : { "DOI" : "10.1007/s12237-013-9594-3", "ISBN" : "1223701395", "ISSN" : "1559-2723", "author" : [ { "dropping-particle" : "", "family" : "Duarte", "given" : "Carlos M.", "non-dropping-particle" : "", "parse-names" : false, "suffix" : "" }, { "dropping-particle" : "", "family" : "Hendriks", "given" : "Iris E.", "non-dropping-particle" : "", "parse-names" : false, "suffix" : "" }, { "dropping-particle" : "", "family" : "Moore", "given" : "Tommy S.", "non-dropping-particle" : "", "parse-names" : false, "suffix" : "" }, { "dropping-particle" : "", "family" : "Olsen", "given" : "Ylva S.", "non-dropping-particle" : "", "parse-names" : false, "suffix" : "" }, { "dropping-particle" : "", "family" : "Steckbauer", "given" : "Alexandra", "non-dropping-particle" : "", "parse-names" : false, "suffix" : "" }, { "dropping-particle" : "", "family" : "Ramajo", "given" : "Laura", "non-dropping-particle" : "", "parse-names" : false, "suffix" : "" }, { "dropping-particle" : "", "family" : "Carstensen", "given" : "Jacob", "non-dropping-particle" : "", "parse-names" : false, "suffix" : "" }, { "dropping-particle" : "", "family" : "Trotter", "given" : "Julie a.", "non-dropping-particle" : "", "parse-names" : false, "suffix" : "" }, { "dropping-particle" : "", "family" : "McCulloch", "given" : "Malcolm", "non-dropping-particle" : "", "parse-names" : false, "suffix" : "" } ], "container-title" : "Estuaries and Coasts", "id" : "ITEM-1", "issue" : "2", "issued" : { "date-parts" : [ [ "2013", "3", "1" ] ] }, "page" : "221-236", "title" : "Is Ocean Acidification an Open-Ocean Syndrome? Understanding Anthropogenic Impacts on Seawater pH", "type" : "article-journal", "volume" : "36" }, "uris" : [ "http://www.mendeley.com/documents/?uuid=67199a19-e43b-450c-bd02-848227562323" ] } ], "mendeley" : { "manualFormatting" : "Duarte et al., 2013)", "previouslyFormattedCitation" : "(Duarte et al., 2013)"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Duarte et al., 2013)</w:t>
      </w:r>
      <w:r w:rsidRPr="00EA3E29">
        <w:rPr>
          <w:rFonts w:ascii="Times" w:hAnsi="Times"/>
          <w:sz w:val="24"/>
        </w:rPr>
        <w:fldChar w:fldCharType="end"/>
      </w:r>
      <w:r w:rsidRPr="00EA3E29">
        <w:rPr>
          <w:rFonts w:ascii="Times" w:hAnsi="Times"/>
          <w:sz w:val="24"/>
        </w:rPr>
        <w:t xml:space="preserve">.  Although some species that live in the coastal ocean show a degree of adaptation to variable pH (see </w:t>
      </w:r>
      <w:r w:rsidRPr="00EA3E29">
        <w:rPr>
          <w:rFonts w:ascii="Times" w:hAnsi="Times"/>
          <w:sz w:val="24"/>
        </w:rPr>
        <w:fldChar w:fldCharType="begin" w:fldLock="1"/>
      </w:r>
      <w:r w:rsidRPr="00EA3E29">
        <w:rPr>
          <w:rFonts w:ascii="Times" w:hAnsi="Times"/>
          <w:sz w:val="24"/>
        </w:rP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Pespeni et al., 2013)", "previouslyFormattedCitation" : "(Kelly, Padilla-Gami\u00f1o, &amp; Hofmann, 2013; Pespeni et al., 2013)"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Kelly et al., 2013; Pespeni et al., 2013)</w:t>
      </w:r>
      <w:r w:rsidRPr="00EA3E29">
        <w:rPr>
          <w:rFonts w:ascii="Times" w:hAnsi="Times"/>
          <w:sz w:val="24"/>
        </w:rPr>
        <w:fldChar w:fldCharType="end"/>
      </w:r>
      <w:r w:rsidRPr="00EA3E29">
        <w:rPr>
          <w:rFonts w:ascii="Times" w:hAnsi="Times"/>
          <w:sz w:val="24"/>
        </w:rPr>
        <w:t xml:space="preserve">, sessile invertebrates are sensitive to acute low pH exposures across life stages.  In bivalves, low pH results in significant changes to larval development </w:t>
      </w:r>
      <w:r w:rsidRPr="00EA3E29">
        <w:rPr>
          <w:rFonts w:ascii="Times" w:hAnsi="Times"/>
          <w:sz w:val="24"/>
        </w:rPr>
        <w:fldChar w:fldCharType="begin" w:fldLock="1"/>
      </w:r>
      <w:r w:rsidRPr="00EA3E29">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"(e.g. Barton et al., 2012)", "previouslyFormattedCitation" : "(Barton, Hales, Waldbusser, Langdon, &amp; Feely, 2012; Stumpp, Wren, Melzner, Thorndyke, &amp; Dupont, 2011)"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(e.g. Barton et al., 2012)</w:t>
      </w:r>
      <w:r w:rsidRPr="00EA3E29">
        <w:rPr>
          <w:rFonts w:ascii="Times" w:hAnsi="Times"/>
          <w:sz w:val="24"/>
        </w:rPr>
        <w:fldChar w:fldCharType="end"/>
      </w:r>
      <w:r w:rsidRPr="00EA3E29">
        <w:rPr>
          <w:rFonts w:ascii="Times" w:hAnsi="Times"/>
          <w:sz w:val="24"/>
        </w:rPr>
        <w:t xml:space="preserve">, reduced shell deposition in most species </w:t>
      </w:r>
      <w:r w:rsidRPr="00EA3E29">
        <w:rPr>
          <w:rFonts w:ascii="Times" w:hAnsi="Times"/>
          <w:sz w:val="24"/>
        </w:rPr>
        <w:fldChar w:fldCharType="begin" w:fldLock="1"/>
      </w:r>
      <w:r w:rsidRPr="00EA3E29">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"id" : "ITEM-2",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"ITEM-2",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"(e.g. Gazeau et al., 2007; Melzner et al., 2011)", "previouslyFormattedCitation" : "(Gazeau et al., 2007; Frank Melzner et al., 2011)"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(e.g. Gazeau et al., 2007; Melzner et al., 2011)</w:t>
      </w:r>
      <w:r w:rsidRPr="00EA3E29">
        <w:rPr>
          <w:rFonts w:ascii="Times" w:hAnsi="Times"/>
          <w:sz w:val="24"/>
        </w:rPr>
        <w:fldChar w:fldCharType="end"/>
      </w:r>
      <w:r w:rsidRPr="00EA3E29">
        <w:rPr>
          <w:rFonts w:ascii="Times" w:hAnsi="Times"/>
          <w:sz w:val="24"/>
        </w:rPr>
        <w:t xml:space="preserve">, decreased integrity of the shell </w:t>
      </w:r>
      <w:r w:rsidRPr="00EA3E29">
        <w:rPr>
          <w:rFonts w:ascii="Times" w:hAnsi="Times"/>
          <w:sz w:val="24"/>
        </w:rPr>
        <w:fldChar w:fldCharType="begin" w:fldLock="1"/>
      </w:r>
      <w:r w:rsidRPr="00EA3E29">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2012; Dickinson et al., 2013)", "previouslyFormattedCitation" : "(Dickinson et al., 2012; Dickinson, Matoo, Tourek, Sokolova, &amp; Beniash, 2013)"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(Dickinson et al., 2012; Dickinson et al., 2013)</w:t>
      </w:r>
      <w:r w:rsidRPr="00EA3E29">
        <w:rPr>
          <w:rFonts w:ascii="Times" w:hAnsi="Times"/>
          <w:sz w:val="24"/>
        </w:rPr>
        <w:fldChar w:fldCharType="end"/>
      </w:r>
      <w:r w:rsidRPr="00EA3E29">
        <w:rPr>
          <w:rFonts w:ascii="Times" w:hAnsi="Times"/>
          <w:sz w:val="24"/>
        </w:rPr>
        <w:t xml:space="preserve"> and weakened attachment of byssal threads </w:t>
      </w:r>
      <w:r w:rsidRPr="00EA3E29">
        <w:rPr>
          <w:rFonts w:ascii="Times" w:hAnsi="Times"/>
          <w:sz w:val="24"/>
        </w:rPr>
        <w:fldChar w:fldCharType="begin" w:fldLock="1"/>
      </w:r>
      <w:r w:rsidRPr="00EA3E29">
        <w:rPr>
          <w:rFonts w:ascii="Times" w:hAnsi="Times"/>
          <w:sz w:val="24"/>
        </w:rPr>
        <w:instrText>ADDIN CSL_CITATION { "citationItems" : [ { "id" : "ITEM-1",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"ITEM-1", "issue" : "6", "issued" : { "date-parts" : [ [ "2013", "3", "10" ] ] }, "page" : "587-590", "publisher" : "Nature Publishing Group", "title" : "Mussel byssus attachment weakened by ocean\u00a0acidification", "type" : "article-journal", "volume" : "3" }, "uris" : [ "http://www.mendeley.com/documents/?uuid=75cdb341-cf65-4c82-b174-29d4e8b905f1" ] } ], "mendeley" : { "manualFormatting" : "(O\u2019Donnell et al., 2013)", "previouslyFormattedCitation" : "(O\u2019Donnell, George, &amp; Carrington, 2013)"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(O’Donnell et al., 2013)</w:t>
      </w:r>
      <w:r w:rsidRPr="00EA3E29">
        <w:rPr>
          <w:rFonts w:ascii="Times" w:hAnsi="Times"/>
          <w:sz w:val="24"/>
        </w:rPr>
        <w:fldChar w:fldCharType="end"/>
      </w:r>
      <w:r w:rsidRPr="00EA3E29">
        <w:rPr>
          <w:rFonts w:ascii="Times" w:hAnsi="Times"/>
          <w:sz w:val="24"/>
        </w:rPr>
        <w:t xml:space="preserve">.  In addition to phenotypic impacts, elevated </w:t>
      </w:r>
      <w:r w:rsidRPr="00EA3E29">
        <w:rPr>
          <w:rFonts w:ascii="Times" w:hAnsi="Times"/>
          <w:i/>
          <w:sz w:val="24"/>
        </w:rPr>
        <w:t>p</w:t>
      </w:r>
      <w:r w:rsidRPr="00EA3E29">
        <w:rPr>
          <w:rFonts w:ascii="Times" w:hAnsi="Times"/>
          <w:sz w:val="24"/>
        </w:rPr>
        <w:t>CO</w:t>
      </w:r>
      <w:r w:rsidRPr="00EA3E29">
        <w:rPr>
          <w:rFonts w:ascii="Times" w:hAnsi="Times"/>
          <w:sz w:val="24"/>
          <w:vertAlign w:val="subscript"/>
        </w:rPr>
        <w:t xml:space="preserve">2 </w:t>
      </w:r>
      <w:r w:rsidRPr="00EA3E29">
        <w:rPr>
          <w:rFonts w:ascii="Times" w:hAnsi="Times"/>
          <w:sz w:val="24"/>
        </w:rPr>
        <w:t xml:space="preserve">can result in significant shifts in marine invertebrate metabolism and resource utilization (e.g. </w:t>
      </w:r>
      <w:r w:rsidRPr="00EA3E29">
        <w:rPr>
          <w:rFonts w:ascii="Times" w:hAnsi="Times"/>
          <w:sz w:val="24"/>
        </w:rPr>
        <w:fldChar w:fldCharType="begin" w:fldLock="1"/>
      </w:r>
      <w:r w:rsidRPr="00EA3E29">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"mendeley" : { "manualFormatting" : "Stumpp et al., 2011)", "previouslyFormattedCitation" : "(Stumpp et al., 2011)"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Stumpp et al., 2011)</w:t>
      </w:r>
      <w:r w:rsidRPr="00EA3E29">
        <w:rPr>
          <w:rFonts w:ascii="Times" w:hAnsi="Times"/>
          <w:sz w:val="24"/>
        </w:rPr>
        <w:fldChar w:fldCharType="end"/>
      </w:r>
      <w:r w:rsidRPr="00EA3E29">
        <w:rPr>
          <w:rFonts w:ascii="Times" w:hAnsi="Times"/>
          <w:sz w:val="24"/>
        </w:rPr>
        <w:t>.</w:t>
      </w:r>
    </w:p>
    <w:p w14:paraId="0D02F666" w14:textId="77777777" w:rsidR="00EA3E29" w:rsidRPr="00EA3E29" w:rsidRDefault="00EA3E29" w:rsidP="00EA3E29">
      <w:pPr>
        <w:pStyle w:val="normal0"/>
        <w:spacing w:line="360" w:lineRule="auto"/>
        <w:ind w:firstLine="720"/>
        <w:rPr>
          <w:rFonts w:ascii="Times" w:hAnsi="Times"/>
          <w:sz w:val="24"/>
        </w:rPr>
      </w:pPr>
      <w:r w:rsidRPr="00EA3E29">
        <w:rPr>
          <w:rFonts w:ascii="Times" w:hAnsi="Times"/>
          <w:sz w:val="24"/>
        </w:rPr>
        <w:t xml:space="preserve">The Pacific oyster, </w:t>
      </w:r>
      <w:r w:rsidRPr="00EA3E29">
        <w:rPr>
          <w:rFonts w:ascii="Times" w:hAnsi="Times"/>
          <w:i/>
          <w:sz w:val="24"/>
        </w:rPr>
        <w:t>Crassostrea gigas</w:t>
      </w:r>
      <w:r w:rsidRPr="00EA3E29">
        <w:rPr>
          <w:rFonts w:ascii="Times" w:hAnsi="Times"/>
          <w:sz w:val="24"/>
        </w:rPr>
        <w:t xml:space="preserve">, is a marine invertebrate that has been well studied in terms of its response to ocean acidification.  Larvae experience developmental delay and shell malformations in response to low pH </w:t>
      </w:r>
      <w:r w:rsidRPr="00EA3E29">
        <w:rPr>
          <w:rFonts w:ascii="Times" w:hAnsi="Times"/>
          <w:sz w:val="24"/>
        </w:rPr>
        <w:fldChar w:fldCharType="begin" w:fldLock="1"/>
      </w:r>
      <w:r w:rsidRPr="00EA3E29">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"ITEM-3", "issue" : "1", "issued" : { "date-parts" : [ [ "2007", "10", "9" ] ] }, "page" : "91-98", "title" : "Effects of increased seawater pCO2 on early development of the oyster Crassostrea gigas", "type" : "article-journal", "volume" : "1" }, "uris" : [ "http://www.mendeley.com/documents/?uuid=f2a4fa5f-36e7-46a9-b536-012ed638a064" ] }, { "id" : "ITEM-4",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"ITEM-4",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"ITEM-5", "itemData" : { "DOI" : "10.1371/journal.pone.0023010", "ISSN" : "1932-6203", "PMID" : "21860666", "abstract" : "Ocean acidification, due to anthropogenic CO\u2082 absorption by the ocean, may have profound impacts on marine biota. Calcareous organisms are expected to be particularly sensitive due to the decreasing availability of carbonate ions driven by decreasing pH levels. Recently, some studies focused on the early life stages of mollusks that are supposedly more sensitive to environmental disturbances than adult stages. Although these studies have shown decreased growth rates and increased proportions of abnormal development under low pH conditions, they did not allow attribution to pH induced changes in physiology or changes due to a decrease in aragonite saturation state. This study aims to assess the impact of several carbonate-system perturbations on the growth of Pacific oyster (Crassostrea gigas) larvae during the first 3 days of development (until shelled D-veliger larvae). Seawater with five different chemistries was obtained by separately manipulating pH, total alkalinity and aragonite saturation state (calcium addition). Results showed that the developmental success and growth rates were not directly affected by changes in pH or aragonite saturation state but were highly correlated with the availability of carbonate ions. In contrast to previous studies, both developmental success into viable D-shaped larvae and growth rates were not significantly altered as long as carbonate ion concentrations were above aragonite saturation levels, but they strongly decreased below saturation levels. These results suggest that the mechanisms used by these organisms to regulate calcification rates are not efficient enough to compensate for the low availability of carbonate ions under corrosive conditions.", "author" : [ { "dropping-particle" : "", "family" : "Gazeau", "given" : "Fr\u00e9d\u00e9ric", "non-dropping-particle" : "", "parse-names" : false, "suffix" : "" }, { "dropping-particle" : "", "family" : "Gattuso", "given" : "Jean-Pierre", "non-dropping-particle" : "", "parse-names" : false, "suffix" : "" }, { "dropping-particle" : "", "family" : "Greaves", "given" : "Mervyn", "non-dropping-particle" : "", "parse-names" : false, "suffix" : "" }, { "dropping-particle" : "", "family" : "Elderfield", "given" : "Henry", "non-dropping-particle" : "", "parse-names" : false, "suffix" : "" }, { "dropping-particle" : "", "family" : "Peene", "given" : "Jan", "non-dropping-particle" : "", "parse-names" : false, "suffix" : "" }, { "dropping-particle" : "", "family" : "Heip", "given" : "Carlo H R", "non-dropping-particle" : "", "parse-names" : false, "suffix" : "" }, { "dropping-particle" : "", "family" : "Middelburg", "given" : "Jack J", "non-dropping-particle" : "", "parse-names" : false, "suffix" : "" } ], "container-title" : "PloS one", "id" : "ITEM-5", "issue" : "8", "issued" : { "date-parts" : [ [ "2011", "1" ] ] }, "page" : "e23010", "title" : "Effect of carbonate chemistry alteration on the early embryonic development of the Pacific oyster (Crassostrea gigas).", "type" : "article-journal", "volume" : "6" }, "uris" : [ "http://www.mendeley.com/documents/?uuid=c9cec4d9-904e-411d-ae4f-a67731e7386d" ] } ], "mendeley" : { "manualFormatting" : "(Barton et al., 2012; Gazeau et al., 2011; Kurihara et al., 2007; Parker et al., 2010; Timmins-Schiffman et al., 2013a)", "previouslyFormattedCitation" : "(Barton et al., 2012; Gazeau et al., 2011; Kurihara, Kato, &amp; Ishimatsu, 2007; Parker, Ross, &amp; O\u2019Connor, 2010; Emma Timmins-Schiffman, O\u2019Donnell, Friedman, &amp; Roberts, 2012)"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(Barton et al., 2012; Gazeau et al., 2011; Kurihara et al., 2007; Parker et al., 2010; Timmins-Schiffman et al., 2013a)</w:t>
      </w:r>
      <w:r w:rsidRPr="00EA3E29">
        <w:rPr>
          <w:rFonts w:ascii="Times" w:hAnsi="Times"/>
          <w:sz w:val="24"/>
        </w:rPr>
        <w:fldChar w:fldCharType="end"/>
      </w:r>
      <w:r w:rsidRPr="00EA3E29">
        <w:rPr>
          <w:rFonts w:ascii="Times" w:hAnsi="Times"/>
          <w:sz w:val="24"/>
        </w:rPr>
        <w:t xml:space="preserve">.  Adults are also affected negatively by ocean acidification.  Fertilization success is reduced at moderately elevated </w:t>
      </w:r>
      <w:r w:rsidRPr="00EA3E29">
        <w:rPr>
          <w:rFonts w:ascii="Times" w:hAnsi="Times"/>
          <w:i/>
          <w:sz w:val="24"/>
        </w:rPr>
        <w:t>p</w:t>
      </w:r>
      <w:r w:rsidRPr="00EA3E29">
        <w:rPr>
          <w:rFonts w:ascii="Times" w:hAnsi="Times"/>
          <w:sz w:val="24"/>
        </w:rPr>
        <w:t>CO</w:t>
      </w:r>
      <w:r w:rsidRPr="00EA3E29">
        <w:rPr>
          <w:rFonts w:ascii="Times" w:hAnsi="Times"/>
          <w:sz w:val="24"/>
          <w:vertAlign w:val="subscript"/>
        </w:rPr>
        <w:t>2</w:t>
      </w:r>
      <w:r w:rsidRPr="00EA3E29">
        <w:rPr>
          <w:rFonts w:ascii="Times" w:hAnsi="Times"/>
          <w:sz w:val="24"/>
        </w:rPr>
        <w:t xml:space="preserve"> (600 µatm) </w:t>
      </w:r>
      <w:r w:rsidRPr="00EA3E29">
        <w:rPr>
          <w:rFonts w:ascii="Times" w:hAnsi="Times"/>
          <w:sz w:val="24"/>
        </w:rPr>
        <w:fldChar w:fldCharType="begin" w:fldLock="1"/>
      </w:r>
      <w:r w:rsidRPr="00EA3E29">
        <w:rPr>
          <w:rFonts w:ascii="Times" w:hAnsi="Times"/>
          <w:sz w:val="24"/>
        </w:rPr>
        <w:instrText>ADDIN CSL_CITATION { "citationItems" : [ { "id" : "ITEM-1",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"ITEM-1",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"mendeley" : { "previouslyFormattedCitation" : "(Parker et al., 2010)"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(Parker et al., 2010)</w:t>
      </w:r>
      <w:r w:rsidRPr="00EA3E29">
        <w:rPr>
          <w:rFonts w:ascii="Times" w:hAnsi="Times"/>
          <w:sz w:val="24"/>
        </w:rPr>
        <w:fldChar w:fldCharType="end"/>
      </w:r>
      <w:r w:rsidRPr="00EA3E29">
        <w:rPr>
          <w:rFonts w:ascii="Times" w:hAnsi="Times"/>
          <w:sz w:val="24"/>
        </w:rPr>
        <w:t xml:space="preserve">.  Calcification rates for adult </w:t>
      </w:r>
      <w:r w:rsidRPr="00EA3E29">
        <w:rPr>
          <w:rFonts w:ascii="Times" w:hAnsi="Times"/>
          <w:i/>
          <w:sz w:val="24"/>
        </w:rPr>
        <w:t>C. gigas</w:t>
      </w:r>
      <w:r w:rsidRPr="00EA3E29">
        <w:rPr>
          <w:rFonts w:ascii="Times" w:hAnsi="Times"/>
          <w:sz w:val="24"/>
        </w:rPr>
        <w:t xml:space="preserve"> decrease linearly with increasing </w:t>
      </w:r>
      <w:r w:rsidRPr="00EA3E29">
        <w:rPr>
          <w:rFonts w:ascii="Times" w:hAnsi="Times"/>
          <w:i/>
          <w:sz w:val="24"/>
        </w:rPr>
        <w:t>p</w:t>
      </w:r>
      <w:r w:rsidRPr="00EA3E29">
        <w:rPr>
          <w:rFonts w:ascii="Times" w:hAnsi="Times"/>
          <w:sz w:val="24"/>
        </w:rPr>
        <w:t>CO</w:t>
      </w:r>
      <w:r w:rsidRPr="00EA3E29">
        <w:rPr>
          <w:rFonts w:ascii="Times" w:hAnsi="Times"/>
          <w:sz w:val="24"/>
          <w:vertAlign w:val="subscript"/>
        </w:rPr>
        <w:t xml:space="preserve">2 </w:t>
      </w:r>
      <w:r w:rsidRPr="00EA3E29">
        <w:rPr>
          <w:rFonts w:ascii="Times" w:hAnsi="Times"/>
          <w:sz w:val="24"/>
        </w:rPr>
        <w:fldChar w:fldCharType="begin" w:fldLock="1"/>
      </w:r>
      <w:r w:rsidRPr="00EA3E29">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(Gazeau et al., 2007)</w:t>
      </w:r>
      <w:r w:rsidRPr="00EA3E29">
        <w:rPr>
          <w:rFonts w:ascii="Times" w:hAnsi="Times"/>
          <w:sz w:val="24"/>
        </w:rPr>
        <w:fldChar w:fldCharType="end"/>
      </w:r>
      <w:r w:rsidRPr="00EA3E29">
        <w:rPr>
          <w:rFonts w:ascii="Times" w:hAnsi="Times"/>
          <w:sz w:val="24"/>
        </w:rPr>
        <w:t xml:space="preserve">.  Reduced pH also alters response to other environmental variables.  The standard metabolic rate of Pacific oysters at low pH was significantly elevated in response to increasing temperature compared to oysters at ambient pH </w:t>
      </w:r>
      <w:r w:rsidRPr="00EA3E29">
        <w:rPr>
          <w:rFonts w:ascii="Times" w:hAnsi="Times"/>
          <w:sz w:val="24"/>
        </w:rPr>
        <w:fldChar w:fldCharType="begin" w:fldLock="1"/>
      </w:r>
      <w:r w:rsidRPr="00EA3E29">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rsidRPr="00EA3E29">
        <w:rPr>
          <w:rFonts w:ascii="Times" w:hAnsi="Times"/>
          <w:sz w:val="24"/>
        </w:rPr>
        <w:fldChar w:fldCharType="separate"/>
      </w:r>
      <w:r w:rsidRPr="00EA3E29">
        <w:rPr>
          <w:rFonts w:ascii="Times" w:hAnsi="Times"/>
          <w:noProof/>
          <w:sz w:val="24"/>
        </w:rPr>
        <w:t>(Lannig et al., 2010)</w:t>
      </w:r>
      <w:r w:rsidRPr="00EA3E29">
        <w:rPr>
          <w:rFonts w:ascii="Times" w:hAnsi="Times"/>
          <w:sz w:val="24"/>
        </w:rPr>
        <w:fldChar w:fldCharType="end"/>
      </w:r>
      <w:r w:rsidRPr="00EA3E29">
        <w:rPr>
          <w:rFonts w:ascii="Times" w:hAnsi="Times"/>
          <w:sz w:val="24"/>
        </w:rPr>
        <w:t xml:space="preserve">.  Such studies illustrate that ocean acidification causes profound physiological changes in </w:t>
      </w:r>
      <w:r w:rsidRPr="00EA3E29">
        <w:rPr>
          <w:rFonts w:ascii="Times" w:hAnsi="Times"/>
          <w:i/>
          <w:sz w:val="24"/>
        </w:rPr>
        <w:t>C. gigas</w:t>
      </w:r>
      <w:r w:rsidRPr="00EA3E29">
        <w:rPr>
          <w:rFonts w:ascii="Times" w:hAnsi="Times"/>
          <w:sz w:val="24"/>
        </w:rPr>
        <w:t xml:space="preserve"> that may have long-term consequences on fitness.  </w:t>
      </w:r>
    </w:p>
    <w:p w14:paraId="45B34F24" w14:textId="77777777" w:rsidR="00EA3E29" w:rsidRPr="00EA3E29" w:rsidRDefault="00EA3E29" w:rsidP="00EA3E29">
      <w:pPr>
        <w:pStyle w:val="normal0"/>
        <w:spacing w:line="360" w:lineRule="auto"/>
        <w:ind w:firstLine="720"/>
        <w:rPr>
          <w:rFonts w:ascii="Times" w:hAnsi="Times"/>
          <w:sz w:val="24"/>
        </w:rPr>
      </w:pPr>
      <w:bookmarkStart w:id="46" w:name="OLE_LINK7"/>
      <w:bookmarkStart w:id="47" w:name="OLE_LINK8"/>
      <w:r w:rsidRPr="00EA3E29">
        <w:rPr>
          <w:rFonts w:ascii="Times" w:hAnsi="Times"/>
          <w:sz w:val="24"/>
        </w:rPr>
        <w:t xml:space="preserve">To examine the underlying processes associated with the biological impacts of ocean acidification on marine invertebrates, the current study takes an integrative approach in examining the response of adult oysters from alternations in protein expression to shell deposition rates.  Oysters were exposed to one of four </w:t>
      </w:r>
      <w:r w:rsidRPr="00EA3E29">
        <w:rPr>
          <w:rFonts w:ascii="Times" w:hAnsi="Times"/>
          <w:i/>
          <w:sz w:val="24"/>
        </w:rPr>
        <w:t>p</w:t>
      </w:r>
      <w:r w:rsidRPr="00EA3E29">
        <w:rPr>
          <w:rFonts w:ascii="Times" w:hAnsi="Times"/>
          <w:sz w:val="24"/>
        </w:rPr>
        <w:t>CO</w:t>
      </w:r>
      <w:r w:rsidRPr="00EA3E29">
        <w:rPr>
          <w:rFonts w:ascii="Times" w:hAnsi="Times"/>
          <w:sz w:val="24"/>
          <w:vertAlign w:val="subscript"/>
        </w:rPr>
        <w:t xml:space="preserve">2 </w:t>
      </w:r>
      <w:r w:rsidRPr="00EA3E29">
        <w:rPr>
          <w:rFonts w:ascii="Times" w:hAnsi="Times"/>
          <w:sz w:val="24"/>
        </w:rPr>
        <w:t xml:space="preserve">levels for one month: 400, 800, 1000, or 2800 µatm.  The </w:t>
      </w:r>
      <w:r w:rsidRPr="00EA3E29">
        <w:rPr>
          <w:rFonts w:ascii="Times" w:hAnsi="Times"/>
          <w:i/>
          <w:sz w:val="24"/>
        </w:rPr>
        <w:t>p</w:t>
      </w:r>
      <w:r w:rsidRPr="00EA3E29">
        <w:rPr>
          <w:rFonts w:ascii="Times" w:hAnsi="Times"/>
          <w:sz w:val="24"/>
        </w:rPr>
        <w:t>CO</w:t>
      </w:r>
      <w:r w:rsidRPr="00EA3E29">
        <w:rPr>
          <w:rFonts w:ascii="Times" w:hAnsi="Times"/>
          <w:sz w:val="24"/>
          <w:vertAlign w:val="subscript"/>
        </w:rPr>
        <w:t xml:space="preserve">2 </w:t>
      </w:r>
      <w:r w:rsidRPr="00EA3E29">
        <w:rPr>
          <w:rFonts w:ascii="Times" w:hAnsi="Times"/>
          <w:sz w:val="24"/>
        </w:rPr>
        <w:t xml:space="preserve">values represent approximate current-day surface ocean </w:t>
      </w:r>
      <w:r w:rsidRPr="00EA3E29">
        <w:rPr>
          <w:rFonts w:ascii="Times" w:hAnsi="Times"/>
          <w:i/>
          <w:sz w:val="24"/>
        </w:rPr>
        <w:t>p</w:t>
      </w:r>
      <w:r w:rsidRPr="00EA3E29">
        <w:rPr>
          <w:rFonts w:ascii="Times" w:hAnsi="Times"/>
          <w:sz w:val="24"/>
        </w:rPr>
        <w:t>CO</w:t>
      </w:r>
      <w:r w:rsidRPr="00EA3E29">
        <w:rPr>
          <w:rFonts w:ascii="Times" w:hAnsi="Times"/>
          <w:sz w:val="24"/>
          <w:vertAlign w:val="subscript"/>
        </w:rPr>
        <w:t>2</w:t>
      </w:r>
      <w:r w:rsidRPr="00EA3E29">
        <w:rPr>
          <w:rFonts w:ascii="Times" w:hAnsi="Times"/>
          <w:sz w:val="24"/>
        </w:rPr>
        <w:t xml:space="preserve"> (400 µatm) and three elevated values reflecting potential end-of-century scenarios as well as </w:t>
      </w:r>
      <w:r w:rsidRPr="00EA3E29">
        <w:rPr>
          <w:rFonts w:ascii="Times" w:hAnsi="Times"/>
          <w:i/>
          <w:sz w:val="24"/>
        </w:rPr>
        <w:t>p</w:t>
      </w:r>
      <w:r w:rsidRPr="00EA3E29">
        <w:rPr>
          <w:rFonts w:ascii="Times" w:hAnsi="Times"/>
          <w:sz w:val="24"/>
        </w:rPr>
        <w:t>CO</w:t>
      </w:r>
      <w:r w:rsidRPr="00EA3E29">
        <w:rPr>
          <w:rFonts w:ascii="Times" w:hAnsi="Times"/>
          <w:sz w:val="24"/>
          <w:vertAlign w:val="subscript"/>
        </w:rPr>
        <w:t xml:space="preserve">2 </w:t>
      </w:r>
      <w:r w:rsidRPr="00EA3E29">
        <w:rPr>
          <w:rFonts w:ascii="Times" w:hAnsi="Times"/>
          <w:sz w:val="24"/>
        </w:rPr>
        <w:t xml:space="preserve">variation that </w:t>
      </w:r>
      <w:proofErr w:type="gramStart"/>
      <w:r w:rsidRPr="00EA3E29">
        <w:rPr>
          <w:rFonts w:ascii="Times" w:hAnsi="Times"/>
          <w:sz w:val="24"/>
        </w:rPr>
        <w:t>is</w:t>
      </w:r>
      <w:proofErr w:type="gramEnd"/>
      <w:r w:rsidRPr="00EA3E29">
        <w:rPr>
          <w:rFonts w:ascii="Times" w:hAnsi="Times"/>
          <w:sz w:val="24"/>
        </w:rPr>
        <w:t xml:space="preserve"> currently experienced in the nearshore environment.  At the end of one month the impacts of elevated </w:t>
      </w:r>
      <w:r w:rsidRPr="00EA3E29">
        <w:rPr>
          <w:rFonts w:ascii="Times" w:hAnsi="Times"/>
          <w:i/>
          <w:sz w:val="24"/>
        </w:rPr>
        <w:t>p</w:t>
      </w:r>
      <w:r w:rsidRPr="00EA3E29">
        <w:rPr>
          <w:rFonts w:ascii="Times" w:hAnsi="Times"/>
          <w:sz w:val="24"/>
        </w:rPr>
        <w:t>CO</w:t>
      </w:r>
      <w:r w:rsidRPr="00EA3E29">
        <w:rPr>
          <w:rFonts w:ascii="Times" w:hAnsi="Times"/>
          <w:sz w:val="24"/>
          <w:vertAlign w:val="subscript"/>
        </w:rPr>
        <w:t xml:space="preserve">2 </w:t>
      </w:r>
      <w:r w:rsidRPr="00EA3E29">
        <w:rPr>
          <w:rFonts w:ascii="Times" w:hAnsi="Times"/>
          <w:sz w:val="24"/>
        </w:rPr>
        <w:t>on shell growth, shell micromechanical properties, lipid metabolism, response to acute heat shock, and response to mechanical stress were assessed</w:t>
      </w:r>
      <w:bookmarkEnd w:id="46"/>
      <w:bookmarkEnd w:id="47"/>
      <w:r w:rsidRPr="00EA3E29">
        <w:rPr>
          <w:rFonts w:ascii="Times" w:hAnsi="Times"/>
          <w:sz w:val="24"/>
        </w:rPr>
        <w:t xml:space="preserve">.  </w:t>
      </w:r>
    </w:p>
    <w:p w14:paraId="65B7EA91" w14:textId="0AEFF8BD" w:rsidR="00426D9F" w:rsidRPr="00EA3E29" w:rsidRDefault="00EA3E29" w:rsidP="00EA3E29">
      <w:pPr>
        <w:pStyle w:val="normal0"/>
        <w:spacing w:line="360" w:lineRule="auto"/>
        <w:rPr>
          <w:rFonts w:ascii="Times" w:hAnsi="Times"/>
          <w:sz w:val="24"/>
        </w:rPr>
      </w:pPr>
      <w:r w:rsidRPr="00EA3E29">
        <w:rPr>
          <w:rFonts w:ascii="Times" w:hAnsi="Times"/>
          <w:sz w:val="24"/>
        </w:rPr>
        <w:tab/>
        <w:t xml:space="preserve">By taking this integrative approach, these data highlight the complex nature of phenotypic impacts of ocean acidification, while at the same time uncovering the less accessible underlying physiological processes.  The latter was made possible by the use of shotgun proteomics, applied for the first time in an investigation of the effects of ocean acidification.  Shotgun proteomics is a powerful non-biased approach in the investigation of biological responses, which also offers insight into underlying mechanisms that could lead to phenotypic effects.  Together these data demonstrate the scope of effects that ocean acidification can have on a marine invertebrate. </w:t>
      </w:r>
      <w:r w:rsidR="00426D9F" w:rsidRPr="00EA3E29">
        <w:rPr>
          <w:rFonts w:ascii="Times" w:hAnsi="Times"/>
          <w:sz w:val="24"/>
        </w:rPr>
        <w:t xml:space="preserve">  </w:t>
      </w:r>
    </w:p>
    <w:p w14:paraId="3C652AFA" w14:textId="4A6C1CCD" w:rsidR="00426D9F" w:rsidRDefault="00C02D9B" w:rsidP="00426D9F">
      <w:pPr>
        <w:pStyle w:val="Heading2"/>
      </w:pPr>
      <w:bookmarkStart w:id="48" w:name="_Toc252110010"/>
      <w:r>
        <w:t>Methods</w:t>
      </w:r>
      <w:bookmarkEnd w:id="48"/>
    </w:p>
    <w:p w14:paraId="29F86A65" w14:textId="09AB13FB" w:rsidR="00732DA8" w:rsidRDefault="00732DA8" w:rsidP="00732DA8">
      <w:pPr>
        <w:pStyle w:val="Heading3"/>
      </w:pPr>
      <w:bookmarkStart w:id="49" w:name="_Toc252110011"/>
      <w:r>
        <w:t>Ocean acidification system</w:t>
      </w:r>
      <w:bookmarkEnd w:id="49"/>
    </w:p>
    <w:p w14:paraId="365AAC82" w14:textId="77777777" w:rsidR="00C85C10" w:rsidRPr="00C85C10" w:rsidRDefault="00C85C10" w:rsidP="00C85C10"/>
    <w:p w14:paraId="4DA51B30" w14:textId="6300319E" w:rsidR="00732DA8" w:rsidRPr="007C548F" w:rsidRDefault="00EA3E29" w:rsidP="00426D9F">
      <w:pPr>
        <w:pStyle w:val="normal0"/>
        <w:spacing w:line="360" w:lineRule="auto"/>
        <w:ind w:firstLine="720"/>
        <w:rPr>
          <w:rFonts w:ascii="Times" w:hAnsi="Times"/>
          <w:sz w:val="24"/>
        </w:rPr>
      </w:pPr>
      <w:r w:rsidRPr="007C548F">
        <w:rPr>
          <w:rFonts w:ascii="Times" w:hAnsi="Times"/>
          <w:sz w:val="24"/>
        </w:rPr>
        <w:t xml:space="preserve">This experiment was conducted at the Friday Harbor Labs Ocean Acidification Environmental Laboratory, Friday Harbor, Washington, </w:t>
      </w:r>
      <w:proofErr w:type="gramStart"/>
      <w:r w:rsidRPr="007C548F">
        <w:rPr>
          <w:rFonts w:ascii="Times" w:hAnsi="Times"/>
          <w:sz w:val="24"/>
        </w:rPr>
        <w:t>USA</w:t>
      </w:r>
      <w:proofErr w:type="gramEnd"/>
      <w:r w:rsidRPr="007C548F">
        <w:rPr>
          <w:rFonts w:ascii="Times" w:hAnsi="Times"/>
          <w:sz w:val="24"/>
        </w:rPr>
        <w:t xml:space="preserve"> where oysters were exposed to </w:t>
      </w:r>
      <w:r w:rsidRPr="007C548F">
        <w:rPr>
          <w:rFonts w:ascii="Times" w:hAnsi="Times"/>
          <w:i/>
          <w:sz w:val="24"/>
        </w:rPr>
        <w:t>p</w:t>
      </w:r>
      <w:r w:rsidRPr="007C548F">
        <w:rPr>
          <w:rFonts w:ascii="Times" w:hAnsi="Times"/>
          <w:sz w:val="24"/>
        </w:rPr>
        <w:t>CO</w:t>
      </w:r>
      <w:r w:rsidRPr="007C548F">
        <w:rPr>
          <w:rFonts w:ascii="Times" w:hAnsi="Times"/>
          <w:sz w:val="24"/>
          <w:vertAlign w:val="subscript"/>
        </w:rPr>
        <w:t xml:space="preserve">2 </w:t>
      </w:r>
      <w:r w:rsidRPr="007C548F">
        <w:rPr>
          <w:rFonts w:ascii="Times" w:hAnsi="Times"/>
          <w:sz w:val="24"/>
        </w:rPr>
        <w:t xml:space="preserve">values of 400 µatm, 800 µatm, 1000 µatm, or 2800 µatm.  The system and control of water chemistry has been previously described in detail </w:t>
      </w:r>
      <w:r w:rsidRPr="007C548F">
        <w:rPr>
          <w:rFonts w:ascii="Times" w:hAnsi="Times"/>
          <w:sz w:val="24"/>
        </w:rPr>
        <w:fldChar w:fldCharType="begin" w:fldLock="1"/>
      </w:r>
      <w:r w:rsidRPr="007C548F">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"ITEM-2", "issue" : "6", "issued" : { "date-parts" : [ [ "2013", "3", "10" ] ] }, "page" : "587-590", "publisher" : "Nature Publishing Group", "title" : "Mussel byssus attachment weakened by ocean\u00a0acidification", "type" : "article-journal", "volume" : "3" }, "uris" : [ "http://www.mendeley.com/documents/?uuid=75cdb341-cf65-4c82-b174-29d4e8b905f1" ] } ], "mendeley" : { "manualFormatting" : "(O\u2019Donnell et al., 2013; Timmins-Schiffman et al., 2013a)", "previouslyFormattedCitation" : "(O\u2019Donnell et al., 2013; Emma Timmins-Schiffman et al., 2012)"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(O’Donnell et al., 2013; Timmins-Schiffman et al., 2013a)</w:t>
      </w:r>
      <w:r w:rsidRPr="007C548F">
        <w:rPr>
          <w:rFonts w:ascii="Times" w:hAnsi="Times"/>
          <w:sz w:val="24"/>
        </w:rPr>
        <w:fldChar w:fldCharType="end"/>
      </w:r>
      <w:r w:rsidRPr="007C548F">
        <w:rPr>
          <w:rFonts w:ascii="Times" w:hAnsi="Times"/>
          <w:sz w:val="24"/>
        </w:rPr>
        <w:t>. Briefly, incoming water was filtered (0.2 µm) and stripped of CO</w:t>
      </w:r>
      <w:r w:rsidRPr="007C548F">
        <w:rPr>
          <w:rFonts w:ascii="Times" w:hAnsi="Times"/>
          <w:sz w:val="24"/>
          <w:vertAlign w:val="subscript"/>
        </w:rPr>
        <w:t>2</w:t>
      </w:r>
      <w:r w:rsidRPr="007C548F">
        <w:rPr>
          <w:rFonts w:ascii="Times" w:hAnsi="Times"/>
          <w:sz w:val="24"/>
        </w:rPr>
        <w:t>. As the water flowed into the different treatment tanks, CO</w:t>
      </w:r>
      <w:r w:rsidRPr="007C548F">
        <w:rPr>
          <w:rFonts w:ascii="Times" w:hAnsi="Times"/>
          <w:sz w:val="24"/>
          <w:vertAlign w:val="subscript"/>
        </w:rPr>
        <w:t>2</w:t>
      </w:r>
      <w:r w:rsidRPr="007C548F">
        <w:rPr>
          <w:rFonts w:ascii="Times" w:hAnsi="Times"/>
          <w:sz w:val="24"/>
        </w:rPr>
        <w:t>-free air and CO</w:t>
      </w:r>
      <w:r w:rsidRPr="007C548F">
        <w:rPr>
          <w:rFonts w:ascii="Times" w:hAnsi="Times"/>
          <w:sz w:val="24"/>
          <w:vertAlign w:val="subscript"/>
        </w:rPr>
        <w:t>2</w:t>
      </w:r>
      <w:r w:rsidRPr="007C548F">
        <w:rPr>
          <w:rFonts w:ascii="Times" w:hAnsi="Times"/>
          <w:sz w:val="24"/>
        </w:rPr>
        <w:t xml:space="preserve"> were added back to reach set points that were continuously monitored by a DuraFET III pH probe (Honeywell, Morristown, NJ, USA).  From the treatment tanks, water flowed into the eight replicate chambers for each of the four treatment levels at 57.5 mL/min.  For this experiment, set points were calculated for 13°C and estimated total alkalinity (A</w:t>
      </w:r>
      <w:r w:rsidRPr="007C548F">
        <w:rPr>
          <w:rFonts w:ascii="Times" w:hAnsi="Times"/>
          <w:sz w:val="24"/>
          <w:vertAlign w:val="subscript"/>
        </w:rPr>
        <w:t>T</w:t>
      </w:r>
      <w:r w:rsidRPr="007C548F">
        <w:rPr>
          <w:rFonts w:ascii="Times" w:hAnsi="Times"/>
          <w:sz w:val="24"/>
        </w:rPr>
        <w:t xml:space="preserve">) of 2100 µmol/kg for </w:t>
      </w:r>
      <w:r w:rsidRPr="007C548F">
        <w:rPr>
          <w:rFonts w:ascii="Times" w:hAnsi="Times"/>
          <w:i/>
          <w:sz w:val="24"/>
        </w:rPr>
        <w:t>p</w:t>
      </w:r>
      <w:r w:rsidRPr="007C548F">
        <w:rPr>
          <w:rFonts w:ascii="Times" w:hAnsi="Times"/>
          <w:sz w:val="24"/>
        </w:rPr>
        <w:t>CO</w:t>
      </w:r>
      <w:r w:rsidRPr="007C548F">
        <w:rPr>
          <w:rFonts w:ascii="Times" w:hAnsi="Times"/>
          <w:sz w:val="24"/>
          <w:vertAlign w:val="subscript"/>
        </w:rPr>
        <w:t xml:space="preserve">2 </w:t>
      </w:r>
      <w:r w:rsidRPr="007C548F">
        <w:rPr>
          <w:rFonts w:ascii="Times" w:hAnsi="Times"/>
          <w:sz w:val="24"/>
        </w:rPr>
        <w:t>values of 400 µatm (pH 8.03), 800 µatm (pH 7.76), 1000 µatm (pH 7.67), and 2800 µatm (pH 7.24).</w:t>
      </w:r>
    </w:p>
    <w:p w14:paraId="7F21FB8E" w14:textId="77777777" w:rsidR="00426D9F" w:rsidRPr="00732DA8" w:rsidRDefault="00426D9F" w:rsidP="00426D9F">
      <w:pPr>
        <w:pStyle w:val="normal0"/>
        <w:spacing w:line="360" w:lineRule="auto"/>
        <w:rPr>
          <w:rFonts w:ascii="Times" w:hAnsi="Times"/>
        </w:rPr>
      </w:pPr>
    </w:p>
    <w:p w14:paraId="6A1458AA" w14:textId="39EC77B7" w:rsidR="00732DA8" w:rsidRDefault="00426D9F" w:rsidP="00732DA8">
      <w:pPr>
        <w:rPr>
          <w:i/>
        </w:rPr>
      </w:pPr>
      <w:r>
        <w:rPr>
          <w:i/>
        </w:rPr>
        <w:t>Seawater Chemistry Analysis</w:t>
      </w:r>
    </w:p>
    <w:p w14:paraId="34147178" w14:textId="77777777" w:rsidR="00426D9F" w:rsidRDefault="00426D9F" w:rsidP="00732DA8">
      <w:pPr>
        <w:rPr>
          <w:i/>
        </w:rPr>
      </w:pPr>
    </w:p>
    <w:p w14:paraId="2D226263" w14:textId="77777777" w:rsidR="007C548F" w:rsidRPr="007C548F" w:rsidRDefault="007C548F" w:rsidP="007C548F">
      <w:pPr>
        <w:pStyle w:val="normal0"/>
        <w:spacing w:line="360" w:lineRule="auto"/>
        <w:ind w:firstLine="720"/>
        <w:rPr>
          <w:rFonts w:ascii="Times" w:hAnsi="Times"/>
          <w:sz w:val="24"/>
        </w:rPr>
      </w:pPr>
      <w:r w:rsidRPr="007C548F">
        <w:rPr>
          <w:rFonts w:ascii="Times" w:hAnsi="Times"/>
          <w:sz w:val="24"/>
        </w:rPr>
        <w:t>Spectrophotometric pH was measured for all treatments 19 out of the 29 days of the experiment as described in SOP 6b by Dickson et al. (2007).  On days 5, 7, 11, 14, 20, 24, and 26 spectrophotometric pH was used to measure the pH of the water inside two of the eight experimental chambers per treatment to ensure consistency with set points.  Salinity was recorded with a conductivity meter (Hach sensION5, Loveland, CO, USA) and treatment temperature was verified with a Fluke 1523 thermometer (Fluke, Everett, WA, USA) whenever spectrophotometric pH was measured.  Total alkalinity (A</w:t>
      </w:r>
      <w:r w:rsidRPr="007C548F">
        <w:rPr>
          <w:rFonts w:ascii="Times" w:hAnsi="Times"/>
          <w:sz w:val="24"/>
          <w:vertAlign w:val="subscript"/>
        </w:rPr>
        <w:t>T</w:t>
      </w:r>
      <w:r w:rsidRPr="007C548F">
        <w:rPr>
          <w:rFonts w:ascii="Times" w:hAnsi="Times"/>
          <w:sz w:val="24"/>
        </w:rPr>
        <w:t>) was measured using an open cell titration as described in SOP 3b (Dickson et al. 2007) for the treatment reservoir water and for two chambers on days 5, 11, 20, and 26.  If the A</w:t>
      </w:r>
      <w:r w:rsidRPr="007C548F">
        <w:rPr>
          <w:rFonts w:ascii="Times" w:hAnsi="Times"/>
          <w:sz w:val="24"/>
          <w:vertAlign w:val="subscript"/>
        </w:rPr>
        <w:t>T</w:t>
      </w:r>
      <w:r w:rsidRPr="007C548F">
        <w:rPr>
          <w:rFonts w:ascii="Times" w:hAnsi="Times"/>
          <w:sz w:val="24"/>
        </w:rPr>
        <w:t xml:space="preserve"> titration was not done on the day of collection, the water sample was poisoned with mercuric chloride and stored in a sealed borosilicate glass jar.  CO</w:t>
      </w:r>
      <w:r w:rsidRPr="007C548F">
        <w:rPr>
          <w:rFonts w:ascii="Times" w:hAnsi="Times"/>
          <w:sz w:val="24"/>
          <w:vertAlign w:val="subscript"/>
        </w:rPr>
        <w:t>2</w:t>
      </w:r>
      <w:r w:rsidRPr="007C548F">
        <w:rPr>
          <w:rFonts w:ascii="Times" w:hAnsi="Times"/>
          <w:sz w:val="24"/>
        </w:rPr>
        <w:t xml:space="preserve">calc (Robbins et al. 2010) was used to calculate calcium carbonate saturation state of aragonite and calcite, carbonate ion concentration, and </w:t>
      </w:r>
      <w:r w:rsidRPr="007C548F">
        <w:rPr>
          <w:rFonts w:ascii="Times" w:hAnsi="Times"/>
          <w:i/>
          <w:sz w:val="24"/>
        </w:rPr>
        <w:t>p</w:t>
      </w:r>
      <w:r w:rsidRPr="007C548F">
        <w:rPr>
          <w:rFonts w:ascii="Times" w:hAnsi="Times"/>
          <w:sz w:val="24"/>
        </w:rPr>
        <w:t>CO</w:t>
      </w:r>
      <w:r w:rsidRPr="007C548F">
        <w:rPr>
          <w:rFonts w:ascii="Times" w:hAnsi="Times"/>
          <w:sz w:val="24"/>
          <w:vertAlign w:val="subscript"/>
        </w:rPr>
        <w:t xml:space="preserve">2 </w:t>
      </w:r>
      <w:r w:rsidRPr="007C548F">
        <w:rPr>
          <w:rFonts w:ascii="Times" w:hAnsi="Times"/>
          <w:sz w:val="24"/>
        </w:rPr>
        <w:t>with A</w:t>
      </w:r>
      <w:r w:rsidRPr="007C548F">
        <w:rPr>
          <w:rFonts w:ascii="Times" w:hAnsi="Times"/>
          <w:sz w:val="24"/>
          <w:vertAlign w:val="subscript"/>
        </w:rPr>
        <w:t>T</w:t>
      </w:r>
      <w:r w:rsidRPr="007C548F">
        <w:rPr>
          <w:rFonts w:ascii="Times" w:hAnsi="Times"/>
          <w:sz w:val="24"/>
        </w:rPr>
        <w:t xml:space="preserve"> and pH as inputs and using the following constants: Lueker et al. (2000) for CO</w:t>
      </w:r>
      <w:r w:rsidRPr="007C548F">
        <w:rPr>
          <w:rFonts w:ascii="Times" w:hAnsi="Times"/>
          <w:sz w:val="24"/>
          <w:vertAlign w:val="subscript"/>
        </w:rPr>
        <w:t>2</w:t>
      </w:r>
      <w:r w:rsidRPr="007C548F">
        <w:rPr>
          <w:rFonts w:ascii="Times" w:hAnsi="Times"/>
          <w:sz w:val="24"/>
        </w:rPr>
        <w:t xml:space="preserve"> constants; Dickson (1990) for KHSO4; total scale (mol/kg SW) for pH scale; and Wanninkhof (1992) for air-sea flux.</w:t>
      </w:r>
    </w:p>
    <w:p w14:paraId="55BC754A" w14:textId="77777777" w:rsidR="00426D9F" w:rsidRPr="00426D9F" w:rsidRDefault="00426D9F" w:rsidP="00732DA8">
      <w:pPr>
        <w:rPr>
          <w:i/>
        </w:rPr>
      </w:pPr>
    </w:p>
    <w:p w14:paraId="078ECA16" w14:textId="0BEB56FC" w:rsidR="00732DA8" w:rsidRDefault="00732DA8" w:rsidP="00732DA8">
      <w:pPr>
        <w:pStyle w:val="Heading3"/>
      </w:pPr>
      <w:bookmarkStart w:id="50" w:name="_Toc252110012"/>
      <w:r>
        <w:t>Experimental design</w:t>
      </w:r>
      <w:bookmarkEnd w:id="50"/>
    </w:p>
    <w:p w14:paraId="4F98B857" w14:textId="77777777" w:rsidR="00C85C10" w:rsidRPr="00C85C10" w:rsidRDefault="00C85C10" w:rsidP="00C85C10"/>
    <w:p w14:paraId="1E25E131" w14:textId="77777777" w:rsidR="007C548F" w:rsidRPr="007C548F" w:rsidRDefault="007C548F" w:rsidP="007C548F">
      <w:pPr>
        <w:pStyle w:val="normal0"/>
        <w:spacing w:line="360" w:lineRule="auto"/>
        <w:ind w:firstLine="720"/>
        <w:rPr>
          <w:rFonts w:ascii="Times" w:hAnsi="Times"/>
          <w:sz w:val="24"/>
        </w:rPr>
      </w:pPr>
      <w:r w:rsidRPr="007C548F">
        <w:rPr>
          <w:rFonts w:ascii="Times" w:hAnsi="Times"/>
          <w:sz w:val="24"/>
        </w:rPr>
        <w:t xml:space="preserve">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  At the beginning and end of the experiment, buoyant weight was taken. Relative growth rate of oyster cohorts within each treatment was calculated for buoyant weight based on </w:t>
      </w:r>
      <w:r w:rsidRPr="007C548F">
        <w:rPr>
          <w:rFonts w:ascii="Times" w:hAnsi="Times"/>
          <w:sz w:val="24"/>
        </w:rPr>
        <w:fldChar w:fldCharType="begin" w:fldLock="1"/>
      </w:r>
      <w:r w:rsidRPr="007C548F">
        <w:rPr>
          <w:rFonts w:ascii="Times" w:hAnsi="Times"/>
          <w:sz w:val="24"/>
        </w:rPr>
        <w:instrText>ADDIN CSL_CITATION { "citationItems" : [ { "id" : "ITEM-1", "itemData" : { "DOI" : "10.1093/aob/mcf140", "ISSN" : "03057364", "author" : [ { "dropping-particle" : "", "family" : "Hoffmann", "given" : "W. A.", "non-dropping-particle" : "", "parse-names" : false, "suffix" : "" }, { "dropping-particle" : "", "family" : "H.", "given" : "Poorter", "non-dropping-particle" : "", "parse-names" : false, "suffix" : "" } ], "container-title" : "Annals of Botany", "id" : "ITEM-1", "issue" : "1", "issued" : { "date-parts" : [ [ "2002", "7", "1" ] ] }, "page" : "37-42", "title" : "Avoiding Bias in Calculations of Relative Growth Rate", "type" : "article-journal", "volume" : "90" }, "uris" : [ "http://www.mendeley.com/documents/?uuid=53c47129-4cb8-49fe-8ecc-e1f0576277a5" ] } ], "mendeley" : { "manualFormatting" : "Hoffmann and Poorter (2002)", "previouslyFormattedCitation" : "(Hoffmann &amp; H., 2002)"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Hoffmann and Poorter (2002)</w:t>
      </w:r>
      <w:r w:rsidRPr="007C548F">
        <w:rPr>
          <w:rFonts w:ascii="Times" w:hAnsi="Times"/>
          <w:sz w:val="24"/>
        </w:rPr>
        <w:fldChar w:fldCharType="end"/>
      </w:r>
      <w:r w:rsidRPr="007C548F">
        <w:rPr>
          <w:rFonts w:ascii="Times" w:hAnsi="Times"/>
          <w:sz w:val="24"/>
        </w:rPr>
        <w:t xml:space="preserve">.  For each treatment, the difference in means of natural log-transformed mass data was divided by 29 days.  Analysis of variance was used to determine the main effects and interactions of time and </w:t>
      </w:r>
      <w:r w:rsidRPr="007C548F">
        <w:rPr>
          <w:rFonts w:ascii="Times" w:hAnsi="Times"/>
          <w:i/>
          <w:sz w:val="24"/>
        </w:rPr>
        <w:t>p</w:t>
      </w:r>
      <w:r w:rsidRPr="007C548F">
        <w:rPr>
          <w:rFonts w:ascii="Times" w:hAnsi="Times"/>
          <w:sz w:val="24"/>
        </w:rPr>
        <w:t>CO</w:t>
      </w:r>
      <w:r w:rsidRPr="007C548F">
        <w:rPr>
          <w:rFonts w:ascii="Times" w:hAnsi="Times"/>
          <w:sz w:val="24"/>
          <w:vertAlign w:val="subscript"/>
        </w:rPr>
        <w:t xml:space="preserve">2 </w:t>
      </w:r>
      <w:r w:rsidRPr="007C548F">
        <w:rPr>
          <w:rFonts w:ascii="Times" w:hAnsi="Times"/>
          <w:sz w:val="24"/>
        </w:rPr>
        <w:t xml:space="preserve">on buoyant weight, using the model: </w:t>
      </w:r>
    </w:p>
    <w:p w14:paraId="3174537D"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bw~t×pCO</m:t>
        </m:r>
        <m:r>
          <m:rPr>
            <m:sty m:val="bi"/>
          </m:rPr>
          <w:rPr>
            <w:rFonts w:ascii="Cambria Math" w:hAnsi="Cambria Math"/>
            <w:color w:val="auto"/>
            <w:sz w:val="24"/>
            <w:szCs w:val="24"/>
          </w:rPr>
          <m:t>2</m:t>
        </m:r>
      </m:oMath>
      <w:r w:rsidRPr="00426D9F">
        <w:rPr>
          <w:rFonts w:ascii="Times" w:hAnsi="Times"/>
          <w:color w:val="auto"/>
          <w:sz w:val="24"/>
          <w:szCs w:val="24"/>
        </w:rPr>
        <w:t xml:space="preserve"> </w:t>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1</w:t>
      </w:r>
      <w:r w:rsidRPr="00426D9F">
        <w:rPr>
          <w:rFonts w:ascii="Times" w:hAnsi="Times"/>
          <w:color w:val="auto"/>
          <w:sz w:val="24"/>
          <w:szCs w:val="24"/>
        </w:rPr>
        <w:fldChar w:fldCharType="end"/>
      </w:r>
      <w:r w:rsidRPr="00426D9F">
        <w:rPr>
          <w:rFonts w:ascii="Times" w:hAnsi="Times"/>
          <w:color w:val="auto"/>
          <w:sz w:val="24"/>
          <w:szCs w:val="24"/>
        </w:rPr>
        <w:t xml:space="preserve"> )</w:t>
      </w:r>
    </w:p>
    <w:p w14:paraId="797F91B5" w14:textId="77777777" w:rsidR="007C548F" w:rsidRPr="007C548F" w:rsidRDefault="007C548F" w:rsidP="007C548F">
      <w:pPr>
        <w:pStyle w:val="normal0"/>
        <w:spacing w:line="360" w:lineRule="auto"/>
        <w:rPr>
          <w:rFonts w:ascii="Times" w:hAnsi="Times"/>
          <w:sz w:val="24"/>
        </w:rPr>
      </w:pPr>
      <w:proofErr w:type="gramStart"/>
      <w:r w:rsidRPr="007C548F">
        <w:rPr>
          <w:rFonts w:ascii="Times" w:hAnsi="Times"/>
          <w:sz w:val="24"/>
        </w:rPr>
        <w:t>where</w:t>
      </w:r>
      <w:proofErr w:type="gramEnd"/>
      <w:r w:rsidRPr="007C548F">
        <w:rPr>
          <w:rFonts w:ascii="Times" w:hAnsi="Times"/>
          <w:sz w:val="24"/>
        </w:rPr>
        <w:t xml:space="preserve"> </w:t>
      </w:r>
      <w:r w:rsidRPr="007C548F">
        <w:rPr>
          <w:rFonts w:ascii="Times" w:hAnsi="Times"/>
          <w:i/>
          <w:sz w:val="24"/>
        </w:rPr>
        <w:t>bw</w:t>
      </w:r>
      <w:r w:rsidRPr="007C548F">
        <w:rPr>
          <w:rFonts w:ascii="Times" w:hAnsi="Times"/>
          <w:sz w:val="24"/>
        </w:rPr>
        <w:t xml:space="preserve"> is the measured buoyant weight for an oyster, </w:t>
      </w:r>
      <w:r w:rsidRPr="007C548F">
        <w:rPr>
          <w:rFonts w:ascii="Times" w:hAnsi="Times"/>
          <w:i/>
          <w:sz w:val="24"/>
        </w:rPr>
        <w:t>t</w:t>
      </w:r>
      <w:r w:rsidRPr="007C548F">
        <w:rPr>
          <w:rFonts w:ascii="Times" w:hAnsi="Times"/>
          <w:sz w:val="24"/>
        </w:rPr>
        <w:t xml:space="preserve"> is time point (either start or end of the experiment) and </w:t>
      </w:r>
      <w:r w:rsidRPr="007C548F">
        <w:rPr>
          <w:rFonts w:ascii="Times" w:hAnsi="Times"/>
          <w:i/>
          <w:sz w:val="24"/>
        </w:rPr>
        <w:t>pCO</w:t>
      </w:r>
      <w:r w:rsidRPr="007C548F">
        <w:rPr>
          <w:rFonts w:ascii="Times" w:hAnsi="Times"/>
          <w:i/>
          <w:sz w:val="24"/>
          <w:vertAlign w:val="subscript"/>
        </w:rPr>
        <w:t>2</w:t>
      </w:r>
      <w:r w:rsidRPr="007C548F">
        <w:rPr>
          <w:rFonts w:ascii="Times" w:hAnsi="Times"/>
          <w:sz w:val="24"/>
        </w:rPr>
        <w:t xml:space="preserve"> is the treatment condition.  Growth rate</w:t>
      </w:r>
      <w:r w:rsidRPr="007C548F">
        <w:rPr>
          <w:rFonts w:ascii="Times" w:hAnsi="Times"/>
          <w:color w:val="FF0000"/>
          <w:sz w:val="24"/>
        </w:rPr>
        <w:t xml:space="preserve"> </w:t>
      </w:r>
      <w:r w:rsidRPr="007C548F">
        <w:rPr>
          <w:rFonts w:ascii="Times" w:hAnsi="Times"/>
          <w:sz w:val="24"/>
        </w:rPr>
        <w:t>analyses were performed in R (R Core Team, 2013).</w:t>
      </w:r>
    </w:p>
    <w:p w14:paraId="2E05D101" w14:textId="77777777" w:rsidR="007C548F" w:rsidRPr="007C548F" w:rsidRDefault="007C548F" w:rsidP="007C548F">
      <w:pPr>
        <w:pStyle w:val="normal0"/>
        <w:spacing w:line="360" w:lineRule="auto"/>
        <w:rPr>
          <w:rFonts w:ascii="Times" w:hAnsi="Times"/>
          <w:sz w:val="24"/>
        </w:rPr>
      </w:pPr>
      <w:r w:rsidRPr="007C548F">
        <w:rPr>
          <w:rFonts w:ascii="Times" w:hAnsi="Times"/>
          <w:sz w:val="24"/>
        </w:rPr>
        <w:tab/>
        <w:t xml:space="preserve">Oysters were held in one of four treatments for 29 days. At the end of the treatment period oysters </w:t>
      </w:r>
      <w:proofErr w:type="gramStart"/>
      <w:r w:rsidRPr="007C548F">
        <w:rPr>
          <w:rFonts w:ascii="Times" w:hAnsi="Times"/>
          <w:sz w:val="24"/>
        </w:rPr>
        <w:t>were</w:t>
      </w:r>
      <w:proofErr w:type="gramEnd"/>
      <w:r w:rsidRPr="007C548F">
        <w:rPr>
          <w:rFonts w:ascii="Times" w:hAnsi="Times"/>
          <w:sz w:val="24"/>
        </w:rPr>
        <w:t xml:space="preserve"> either immediately sampled (n =16), subjected to mechanical stress by centrifugation in a standard salad spinner (5min, ~100rpm) and sampled (n = 8), or subjected heat shock for one hour and sampled (n = 24). Centrifugation has previously been shown to stimulate a stress response in oysters as evidenced by increased circulating noradrenaline and impacts on hemocyte function </w:t>
      </w:r>
      <w:r w:rsidRPr="007C548F">
        <w:rPr>
          <w:rFonts w:ascii="Times" w:hAnsi="Times"/>
          <w:sz w:val="24"/>
        </w:rPr>
        <w:fldChar w:fldCharType="begin" w:fldLock="1"/>
      </w:r>
      <w:r w:rsidRPr="007C548F">
        <w:rPr>
          <w:rFonts w:ascii="Times" w:hAnsi="Times"/>
          <w:sz w:val="24"/>
        </w:rPr>
        <w:instrText>ADDIN CSL_CITATION { "citationItems" : [ { "id" : "ITEM-1", "itemData" : { "DOI" : "10.1006/gcen.2001.7629", "ISSN" : "0016-6480", "PMID" : "11316423", "abstract" : "The stress response is a series of coordinated physiological reactions increasing an organism's capacity to maintain homeostasis in the presence of threatening agents. This fundamental process is known to involve hormonal signaling to rapidly modulate key physiological functions in vertebrates, but data are lacking concerning neuroendocrine responses to stress in invertebrates. The present study examined circulating catecholamine (CA) responses to stress in oysters. Mechanical disturbances (consisting of shaking the animals) and temperature or salinity variations were applied to the animals because these three types of stressors are commonly encountered by oysters in aquaculture or in their natural habitat. Results show that both circulating noradrenaline (NA) and dopamine (DA) concentrations increased in response to stress. The catecholaminergic response to acute mechanical stressors was rapid (less than 5 min), transient (a return to basal CA levels was observed after 60-90 min), and reflected both the intensity and duration of the perturbation. In contrast, responses to temperature and salinity variations were long lasting (up to 72 h). CA concentrations varied from 1.61 +/- 0.30 ng NA/ml and 0.41 +/- 0.05 ng DA/ml to maximal values of 22.07 +/- 0.97 ng NA/ml and 2.24 +/- 0.19 ng DA/ml. Such CA concentrations are known to induce physiological responses in bivalves, suggesting that stress-induced NA and DA changes exert a regulatory function in oysters.",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"Poulet", "given" : "S a", "non-dropping-particle" : "", "parse-names" : false, "suffix" : "" } ], "container-title" : "General and comparative endocrinology", "id" : "ITEM-1", "issue" : "2", "issued" : { "date-parts" : [ [ "2001", "5" ] ] }, "page" : "181-8", "title" : "Stress-induced catecholamine changes in the hemolymph of the oyster Crassostrea gigas.", "type" : "article-journal", "volume" : "122" }, "uris" : [ "http://www.mendeley.com/documents/?uuid=57568eb8-5f17-4d69-bb7e-cd7284cd16cd" ] }, { "id" : "ITEM-2", "itemData" : { "ISSN" : "0022-0949", "PMID" : "11249835", "abstract" : "Catecholamines and pro-opiomelanocortin (POMC)-derived peptides, some of the central regulators of the stress-response systems of vertebrates, are also present in invertebrates. However, studies are needed to determine how these hormones participate in the organisation of neuroendocrine stress-response axes in invertebrates. Our present work provides evidence for the presence of an adrenergic stress-response system in the oyster Crassostrea gigas. Noradrenaline and dopamine are released into the circulation in response to stress. Storage and release of these hormones take place in neurosecretory cells presenting morphological and biochemical similarities with vertebrate chromaffin cells. Both in vivo and in vitro experiments showed that applications of the neurotransmitters acetylcholine or carbachol caused no significant release of noradrenaline or dopamine. Moreover, the nicotinic antagonists hexamethonium and &amp;agr; -bungarotoxin and the muscarinic antagonist atropine caused no significant inhibition of catecholamine release in stressed oysters. Adrenocorticotropic hormone (ACTH) induced a significant release of noradrenaline, but the release of dopamine in response to ACTH was not significant. These results suggest that, unlike that of vertebrates, the adrenergic stress-response system of oysters is not under the control of acetylcholine and that other factors, such as the neuropeptide ACTH, might control this system.",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"Jalabert", "given" : "F", "non-dropping-particle" : "", "parse-names" : false, "suffix" : "" }, { "dropping-particle" : "", "family" : "G\u00e9l\u00e9bart", "given" : "F", "non-dropping-particle" : "", "parse-names" : false, "suffix" : "" }, { "dropping-particle" : "", "family" : "Poulet", "given" : "S a", "non-dropping-particle" : "", "parse-names" : false, "suffix" : "" } ], "container-title" : "The Journal of experimental biology", "id" : "ITEM-2", "issue" : "Pt 7", "issued" : { "date-parts" : [ [ "2001", "4" ] ] }, "page" : "1247-55", "title" : "Evidence for a form of adrenergic response to stress in the mollusc Crassostrea gigas.", "type" : "article-journal", "volume" : "204" }, "uris" : [ "http://www.mendeley.com/documents/?uuid=4191072a-caea-48fb-831c-b6e71888d20a" ] } ], "mendeley" : { "manualFormatting" : "(Lacoste et al., 2001a; Lacoste et al., 2001b)", "previouslyFormattedCitation" : "(Lacoste, Malham, Cueff, &amp; Poulet, 2001; Lacoste, Malham, Cueff, Jalabert, et al., 2001)"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(Lacoste et al., 2001a; Lacoste et al., 2001b)</w:t>
      </w:r>
      <w:r w:rsidRPr="007C548F">
        <w:rPr>
          <w:rFonts w:ascii="Times" w:hAnsi="Times"/>
          <w:sz w:val="24"/>
        </w:rPr>
        <w:fldChar w:fldCharType="end"/>
      </w:r>
      <w:r w:rsidRPr="007C548F">
        <w:rPr>
          <w:rFonts w:ascii="Times" w:hAnsi="Times"/>
          <w:sz w:val="24"/>
        </w:rPr>
        <w:t xml:space="preserve">.  In this study, mechanical stimulation was used to characterize how elevated </w:t>
      </w:r>
      <w:r w:rsidRPr="007C548F">
        <w:rPr>
          <w:rFonts w:ascii="Times" w:hAnsi="Times"/>
          <w:i/>
          <w:sz w:val="24"/>
        </w:rPr>
        <w:t>p</w:t>
      </w:r>
      <w:r w:rsidRPr="007C548F">
        <w:rPr>
          <w:rFonts w:ascii="Times" w:hAnsi="Times"/>
          <w:sz w:val="24"/>
        </w:rPr>
        <w:t>CO</w:t>
      </w:r>
      <w:r w:rsidRPr="007C548F">
        <w:rPr>
          <w:rFonts w:ascii="Times" w:hAnsi="Times"/>
          <w:sz w:val="24"/>
          <w:vertAlign w:val="subscript"/>
        </w:rPr>
        <w:t>2</w:t>
      </w:r>
      <w:r w:rsidRPr="007C548F">
        <w:rPr>
          <w:rFonts w:ascii="Times" w:hAnsi="Times"/>
          <w:sz w:val="24"/>
        </w:rPr>
        <w:t xml:space="preserve"> impacts the physiological response to an additional stressor.   </w:t>
      </w:r>
    </w:p>
    <w:p w14:paraId="2D7FAA4B" w14:textId="302FDDC5" w:rsidR="00426D9F" w:rsidRPr="007C548F" w:rsidRDefault="007C548F" w:rsidP="007C548F">
      <w:pPr>
        <w:pStyle w:val="normal0"/>
        <w:spacing w:line="360" w:lineRule="auto"/>
        <w:ind w:firstLine="720"/>
        <w:rPr>
          <w:rFonts w:ascii="Times" w:hAnsi="Times"/>
          <w:sz w:val="24"/>
        </w:rPr>
      </w:pPr>
      <w:r w:rsidRPr="007C548F">
        <w:rPr>
          <w:rFonts w:ascii="Times" w:hAnsi="Times"/>
          <w:sz w:val="24"/>
        </w:rPr>
        <w:t xml:space="preserve">For sampling, a section of the posterior gill lamellae </w:t>
      </w:r>
      <w:proofErr w:type="gramStart"/>
      <w:r w:rsidRPr="007C548F">
        <w:rPr>
          <w:rFonts w:ascii="Times" w:hAnsi="Times"/>
          <w:sz w:val="24"/>
        </w:rPr>
        <w:t>was</w:t>
      </w:r>
      <w:proofErr w:type="gramEnd"/>
      <w:r w:rsidRPr="007C548F">
        <w:rPr>
          <w:rFonts w:ascii="Times" w:hAnsi="Times"/>
          <w:sz w:val="24"/>
        </w:rPr>
        <w:t xml:space="preserve"> dissected and immediately flash frozen in liquid nitrogen for protein expression analysis. Only samples held at 400 µatm (control) and 2800 µatm, both mechanically stressed and without additional stress, were considered for protein analysis. Remaining viscera from all oysters were put in a separate tube and flash frozen for fatty acid analysis.  Both shell valves were gently cleaned of remaining tissue and left to air dry for characterization of shell mechanical properties.</w:t>
      </w:r>
    </w:p>
    <w:p w14:paraId="20E84C05" w14:textId="1FC88149" w:rsidR="00732DA8" w:rsidRPr="00732DA8" w:rsidRDefault="00732DA8" w:rsidP="00732DA8">
      <w:pPr>
        <w:ind w:firstLine="720"/>
      </w:pPr>
    </w:p>
    <w:p w14:paraId="0A149557" w14:textId="43F75E4B" w:rsidR="00732DA8" w:rsidRDefault="00732DA8" w:rsidP="00732DA8">
      <w:pPr>
        <w:pStyle w:val="Heading3"/>
      </w:pPr>
      <w:bookmarkStart w:id="51" w:name="_Toc252110013"/>
      <w:r>
        <w:t>Shell micromechanical properties</w:t>
      </w:r>
      <w:bookmarkEnd w:id="51"/>
    </w:p>
    <w:p w14:paraId="30E4B587" w14:textId="77777777" w:rsidR="00C85C10" w:rsidRPr="00C85C10" w:rsidRDefault="00C85C10" w:rsidP="00C85C10"/>
    <w:p w14:paraId="4C7AEE68" w14:textId="77777777" w:rsidR="007C548F" w:rsidRPr="007C548F" w:rsidRDefault="007C548F" w:rsidP="007C548F">
      <w:pPr>
        <w:pStyle w:val="normal0"/>
        <w:spacing w:line="360" w:lineRule="auto"/>
        <w:ind w:firstLine="720"/>
        <w:rPr>
          <w:rFonts w:ascii="Times" w:hAnsi="Times"/>
          <w:sz w:val="24"/>
        </w:rPr>
      </w:pPr>
      <w:r w:rsidRPr="007C548F">
        <w:rPr>
          <w:rFonts w:ascii="Times" w:hAnsi="Times"/>
          <w:sz w:val="24"/>
        </w:rPr>
        <w:t xml:space="preserve">Micromechanical testing was conducted on left shell valves of </w:t>
      </w:r>
      <w:r w:rsidRPr="007C548F">
        <w:rPr>
          <w:rFonts w:ascii="Times" w:hAnsi="Times"/>
          <w:i/>
          <w:sz w:val="24"/>
        </w:rPr>
        <w:t>C. gigas</w:t>
      </w:r>
      <w:r w:rsidRPr="007C548F">
        <w:rPr>
          <w:rFonts w:ascii="Times" w:hAnsi="Times"/>
          <w:sz w:val="24"/>
        </w:rPr>
        <w:t xml:space="preserve"> that had been exposed to 400, 1000 or 2800 µatm. All reagents, supplies and equipment for sample preparation were purchased from Allied High Tech Products, Inc. (Rancho Dominguez, CA, USA) unless otherwise stated. Micromechanical testing was conducted within the outermost 3 mm of the shell posterior, the region of the shell where growth occurs most rapidly. Although we could not definitively differentiate shell grown during the experimental exposure from pre-existing shell, observations of growth during the course of the experiment were consistent with a 3 mm deposition of new shell.</w:t>
      </w:r>
    </w:p>
    <w:p w14:paraId="2318E16D" w14:textId="77777777" w:rsidR="007C548F" w:rsidRPr="007C548F" w:rsidRDefault="007C548F" w:rsidP="007C548F">
      <w:pPr>
        <w:pStyle w:val="normal0"/>
        <w:spacing w:line="360" w:lineRule="auto"/>
        <w:ind w:firstLine="720"/>
        <w:rPr>
          <w:rFonts w:ascii="Times" w:hAnsi="Times"/>
          <w:sz w:val="24"/>
        </w:rPr>
      </w:pPr>
      <w:r w:rsidRPr="007C548F">
        <w:rPr>
          <w:rFonts w:ascii="Times" w:hAnsi="Times"/>
          <w:sz w:val="24"/>
        </w:rPr>
        <w:t>To prepare samples, shell valves were first cut across their width using a water-cooled diamond tile saw (Skilsaw, #3540), separating the anterior from the posterior portion of the shell. The posterior segment of valves (approximately 35 mm in length) was then cleaned using Micro Organic Soap and a cotton ball to remove oil and debris and mounted on a glass microscope slide using mounting wax. Slides with mounted shells were secured to the cutting arm of a low speed diamond saw (TechCut 4, cooled with proprietary cutting fluid) and the shell segment was cut longitudinally, transecting the most posterior edge. Sectioned shell valves were removed from slides, cleaned again with Micro Organic Soap, dried on a hot plate at 70°C, and mounted in epoxy resin. Mounted samples were then ground and polished on a manual grinding/polishing machine (M-Prep 5) by passing samples through a grinding series of 180, 320, 600 and 800 grit and then polishing with a 1 µm diamond suspension and finally a 0.04 µm colloidal silica suspension. Samples were cleaned with Micro Organic soap and checked under a metallurgical microscope after each step of the grinding/polishing process, and were re-polished if necessary until the surface of each sample was completely even and free of scratches. No etching of shells was observed during grinding or polishing.</w:t>
      </w:r>
    </w:p>
    <w:p w14:paraId="0C8CDDAE" w14:textId="77777777" w:rsidR="007C548F" w:rsidRPr="007C548F" w:rsidRDefault="007C548F" w:rsidP="007C548F">
      <w:pPr>
        <w:pStyle w:val="normal0"/>
        <w:spacing w:line="360" w:lineRule="auto"/>
        <w:ind w:firstLine="720"/>
        <w:rPr>
          <w:rFonts w:ascii="Times" w:hAnsi="Times"/>
          <w:sz w:val="24"/>
        </w:rPr>
      </w:pPr>
      <w:r w:rsidRPr="007C548F">
        <w:rPr>
          <w:rFonts w:ascii="Times" w:hAnsi="Times"/>
          <w:sz w:val="24"/>
        </w:rPr>
        <w:t xml:space="preserve">Vickers microhardness tests were conducted using a microindentation hardness tester (Clark Instrument MHT-1, SUN-TEC, Novi, MI, USA) on polished shells at 0.245 N load and 5 s dwelling time. </w:t>
      </w:r>
      <w:bookmarkStart w:id="52" w:name="OLE_LINK19"/>
      <w:bookmarkStart w:id="53" w:name="OLE_LINK20"/>
      <w:r w:rsidRPr="007C548F">
        <w:rPr>
          <w:rFonts w:ascii="Times" w:hAnsi="Times"/>
          <w:sz w:val="24"/>
        </w:rPr>
        <w:t>Indents were made within the bulk, foliated layer of the shell,</w:t>
      </w:r>
      <w:bookmarkEnd w:id="52"/>
      <w:bookmarkEnd w:id="53"/>
      <w:r w:rsidRPr="007C548F">
        <w:rPr>
          <w:rFonts w:ascii="Times" w:hAnsi="Times"/>
          <w:sz w:val="24"/>
        </w:rPr>
        <w:t xml:space="preserve"> which was easily differentiated from the prismatic and chalky regions of the shell at low magnification. Seven to eight indentations were made per sample and each indent was placed at least 45 µm away from other indents and the sample’s edges. Vickers hardness numbers (VHN) were calculated as:</w:t>
      </w:r>
    </w:p>
    <w:p w14:paraId="793D72F7" w14:textId="343ABD3F" w:rsidR="00426D9F" w:rsidRPr="00426D9F" w:rsidRDefault="00426D9F" w:rsidP="00426D9F">
      <w:pPr>
        <w:pStyle w:val="normal0"/>
        <w:spacing w:line="360" w:lineRule="auto"/>
        <w:ind w:firstLine="720"/>
        <w:rPr>
          <w:rFonts w:ascii="Times" w:hAnsi="Times"/>
          <w:sz w:val="24"/>
        </w:rPr>
      </w:pPr>
    </w:p>
    <w:p w14:paraId="45706BAF"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VHN =1.854×</m:t>
        </m:r>
        <m:d>
          <m:dPr>
            <m:ctrlPr>
              <w:rPr>
                <w:rFonts w:ascii="Cambria Math" w:hAnsi="Cambria Math"/>
                <w:i/>
                <w:color w:val="auto"/>
                <w:sz w:val="24"/>
                <w:szCs w:val="24"/>
              </w:rPr>
            </m:ctrlPr>
          </m:dPr>
          <m:e>
            <m:r>
              <m:rPr>
                <m:sty m:val="bi"/>
              </m:rPr>
              <w:rPr>
                <w:rFonts w:ascii="Cambria Math" w:hAnsi="Cambria Math"/>
                <w:color w:val="auto"/>
                <w:sz w:val="24"/>
                <w:szCs w:val="24"/>
              </w:rPr>
              <m:t>F÷</m:t>
            </m:r>
            <m:sSup>
              <m:sSupPr>
                <m:ctrlPr>
                  <w:rPr>
                    <w:rFonts w:ascii="Cambria Math" w:hAnsi="Cambria Math"/>
                    <w:i/>
                    <w:color w:val="auto"/>
                    <w:sz w:val="24"/>
                    <w:szCs w:val="24"/>
                  </w:rPr>
                </m:ctrlPr>
              </m:sSupPr>
              <m:e>
                <m:r>
                  <m:rPr>
                    <m:sty m:val="bi"/>
                  </m:rPr>
                  <w:rPr>
                    <w:rFonts w:ascii="Cambria Math" w:hAnsi="Cambria Math"/>
                    <w:color w:val="auto"/>
                    <w:sz w:val="24"/>
                    <w:szCs w:val="24"/>
                  </w:rPr>
                  <m:t>d</m:t>
                </m:r>
              </m:e>
              <m:sup>
                <m:r>
                  <m:rPr>
                    <m:sty m:val="bi"/>
                  </m:rPr>
                  <w:rPr>
                    <w:rFonts w:ascii="Cambria Math" w:hAnsi="Cambria Math"/>
                    <w:color w:val="auto"/>
                    <w:sz w:val="24"/>
                    <w:szCs w:val="24"/>
                  </w:rPr>
                  <m:t>2</m:t>
                </m:r>
              </m:sup>
            </m:sSup>
          </m:e>
        </m:d>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2</w:t>
      </w:r>
      <w:r w:rsidRPr="00426D9F">
        <w:rPr>
          <w:rFonts w:ascii="Times" w:hAnsi="Times"/>
          <w:color w:val="auto"/>
          <w:sz w:val="24"/>
          <w:szCs w:val="24"/>
        </w:rPr>
        <w:fldChar w:fldCharType="end"/>
      </w:r>
      <w:r w:rsidRPr="00426D9F">
        <w:rPr>
          <w:rFonts w:ascii="Times" w:hAnsi="Times"/>
          <w:color w:val="auto"/>
          <w:sz w:val="24"/>
          <w:szCs w:val="24"/>
        </w:rPr>
        <w:t xml:space="preserve"> )</w:t>
      </w:r>
    </w:p>
    <w:p w14:paraId="24D0C62C" w14:textId="72129BB6" w:rsidR="007C548F" w:rsidRPr="007C548F" w:rsidRDefault="007C548F" w:rsidP="007C548F">
      <w:pPr>
        <w:pStyle w:val="normal0"/>
        <w:spacing w:line="360" w:lineRule="auto"/>
        <w:rPr>
          <w:rFonts w:ascii="Times" w:hAnsi="Times"/>
          <w:sz w:val="24"/>
        </w:rPr>
      </w:pPr>
      <w:proofErr w:type="gramStart"/>
      <w:r w:rsidRPr="007C548F">
        <w:rPr>
          <w:rFonts w:ascii="Times" w:hAnsi="Times"/>
          <w:sz w:val="24"/>
        </w:rPr>
        <w:t>where</w:t>
      </w:r>
      <w:proofErr w:type="gramEnd"/>
      <w:r w:rsidRPr="007C548F">
        <w:rPr>
          <w:rFonts w:ascii="Times" w:hAnsi="Times"/>
          <w:sz w:val="24"/>
        </w:rPr>
        <w:t xml:space="preserve"> F is the applied load and d is the mean length of the two diagonals produced by indentation. VHN were averaged for each shell sample. Following microhardness testing, each indent was photographed at 80x magnification on a metallurgical microscope (Jenco MET-233, Portland, OR, USA) equipped with a camera (Leica EC3, Buffalo Grove, IL, USA). Photographs were used to quantify the longest crack produced by each indent, which was measured using image analysis software (Leica LAS EZ, Ver. 3.0) as the radius of a circle radiating from the center of the indent enclosing all visible cracks (Figure </w:t>
      </w:r>
      <w:r w:rsidR="00AC2902">
        <w:rPr>
          <w:rFonts w:ascii="Times" w:hAnsi="Times"/>
          <w:sz w:val="24"/>
        </w:rPr>
        <w:t>III.</w:t>
      </w:r>
      <w:r w:rsidRPr="007C548F">
        <w:rPr>
          <w:rFonts w:ascii="Times" w:hAnsi="Times"/>
          <w:sz w:val="24"/>
        </w:rPr>
        <w:t>S1). Hardness and crack radius measurements were used to calculate fracture toughness (K</w:t>
      </w:r>
      <w:r w:rsidRPr="007C548F">
        <w:rPr>
          <w:rFonts w:ascii="Times" w:hAnsi="Times"/>
          <w:sz w:val="24"/>
          <w:vertAlign w:val="subscript"/>
        </w:rPr>
        <w:t>c</w:t>
      </w:r>
      <w:r w:rsidRPr="007C548F">
        <w:rPr>
          <w:rFonts w:ascii="Times" w:hAnsi="Times"/>
          <w:sz w:val="24"/>
        </w:rPr>
        <w:t xml:space="preserve">) for each sample as described elsewhere </w:t>
      </w:r>
      <w:r w:rsidRPr="007C548F">
        <w:rPr>
          <w:rFonts w:ascii="Times" w:hAnsi="Times"/>
          <w:sz w:val="24"/>
        </w:rPr>
        <w:fldChar w:fldCharType="begin" w:fldLock="1"/>
      </w:r>
      <w:r w:rsidRPr="007C548F">
        <w:rPr>
          <w:rFonts w:ascii="Times" w:hAnsi="Times"/>
          <w:sz w:val="24"/>
        </w:rPr>
        <w:instrText>ADDIN CSL_CITATION { "citationItems" : [ { "id" : "ITEM-1", "itemData" : { "author" : [ { "dropping-particle" : "", "family" : "Anstis", "given" : "G.R.", "non-dropping-particle" : "", "parse-names" : false, "suffix" : "" }, { "dropping-particle" : "", "family" : "Chantikul", "given" : "P.", "non-dropping-particle" : "", "parse-names" : false, "suffix" : "" }, { "dropping-particle" : "", "family" : "Lawn", "given" : "B.R.", "non-dropping-particle" : "", "parse-names" : false, "suffix" : "" }, { "dropping-particle" : "", "family" : "Marshall", "given" : "D.B.", "non-dropping-particle" : "", "parse-names" : false, "suffix" : "" } ], "container-title" : "Journal of the American Ceramic Society", "id" : "ITEM-1", "issue" : "9", "issued" : { "date-parts" : [ [ "1981" ] ] }, "page" : "533-538", "title" : "A critical evaluation of indentation techniques for measuring fracture toughness: I, direct crack measurements", "type" : "article-journal", "volume" : "46" }, "uris" : [ "http://www.mendeley.com/documents/?uuid=a5efb241-07e4-4609-99e9-461bb5edb515" ] }, { "id" : "ITEM-2", "itemData" : { "DOI" : "10.1177/154405910808700711", "ISBN" : "1544059108", "ISSN" : "0022-0345", "author" : [ { "dropping-particle" : "", "family" : "Baldassarri", "given" : "M.", "non-dropping-particle" : "", "parse-names" : false, "suffix" : "" }, { "dropping-particle" : "", "family" : "Margolis", "given" : "H.C.", "non-dropping-particle" : "", "parse-names" : false, "suffix" : "" }, { "dropping-particle" : "", "family" : "Beniash", "given" : "E.", "non-dropping-particle" : "", "parse-names" : false, "suffix" : "" } ], "container-title" : "Journal of Dental Research", "id" : "ITEM-2", "issue" : "7", "issued" : { "date-parts" : [ [ "2008", "7", "1" ] ] }, "page" : "645-649", "title" : "Compositional Determinants of Mechanical Properties of Enamel", "type" : "article-journal", "volume" : "87" }, "uris" : [ "http://www.mendeley.com/documents/?uuid=7010aaac-5f9a-404c-84eb-c39c29537943" ] } ], "mendeley" : { "manualFormatting" : "(Anstis et al., 1981; Baldassarri et al., 2008)", "previouslyFormattedCitation" : "(Anstis, Chantikul, Lawn, &amp; Marshall, 1981; Baldassarri, Margolis, &amp; Beniash, 2008)"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(Anstis et al., 1981; Baldassarri et al., 2008)</w:t>
      </w:r>
      <w:r w:rsidRPr="007C548F">
        <w:rPr>
          <w:rFonts w:ascii="Times" w:hAnsi="Times"/>
          <w:sz w:val="24"/>
        </w:rPr>
        <w:fldChar w:fldCharType="end"/>
      </w:r>
      <w:r w:rsidRPr="007C548F">
        <w:rPr>
          <w:rFonts w:ascii="Times" w:hAnsi="Times"/>
          <w:sz w:val="24"/>
        </w:rPr>
        <w:t>:</w:t>
      </w:r>
    </w:p>
    <w:p w14:paraId="2057C7AE" w14:textId="77777777" w:rsidR="00426D9F" w:rsidRPr="00426D9F" w:rsidRDefault="00426D9F" w:rsidP="00426D9F">
      <w:pPr>
        <w:pStyle w:val="Caption"/>
        <w:spacing w:line="360" w:lineRule="auto"/>
        <w:jc w:val="right"/>
        <w:rPr>
          <w:rFonts w:ascii="Times" w:hAnsi="Times"/>
          <w:color w:val="auto"/>
          <w:sz w:val="24"/>
          <w:szCs w:val="24"/>
        </w:rPr>
      </w:pPr>
      <w:r w:rsidRPr="00426D9F">
        <w:rPr>
          <w:rFonts w:ascii="Times" w:hAnsi="Times"/>
          <w:color w:val="auto"/>
          <w:sz w:val="24"/>
          <w:szCs w:val="24"/>
        </w:rPr>
        <w:t xml:space="preserve"> </w:t>
      </w:r>
      <m:oMath>
        <m:sSub>
          <m:sSubPr>
            <m:ctrlPr>
              <w:rPr>
                <w:rFonts w:ascii="Cambria Math" w:hAnsi="Cambria Math"/>
                <w:i/>
                <w:color w:val="auto"/>
                <w:sz w:val="24"/>
                <w:szCs w:val="24"/>
              </w:rPr>
            </m:ctrlPr>
          </m:sSubPr>
          <m:e>
            <m:r>
              <m:rPr>
                <m:sty m:val="bi"/>
              </m:rPr>
              <w:rPr>
                <w:rFonts w:ascii="Cambria Math" w:hAnsi="Cambria Math"/>
                <w:color w:val="auto"/>
                <w:sz w:val="24"/>
                <w:szCs w:val="24"/>
              </w:rPr>
              <m:t>K</m:t>
            </m:r>
          </m:e>
          <m:sub>
            <m:r>
              <m:rPr>
                <m:sty m:val="bi"/>
              </m:rPr>
              <w:rPr>
                <w:rFonts w:ascii="Cambria Math" w:hAnsi="Cambria Math"/>
                <w:color w:val="auto"/>
                <w:sz w:val="24"/>
                <w:szCs w:val="24"/>
              </w:rPr>
              <m:t>C</m:t>
            </m:r>
          </m:sub>
        </m:sSub>
        <m:r>
          <m:rPr>
            <m:sty m:val="bi"/>
          </m:rPr>
          <w:rPr>
            <w:rFonts w:ascii="Cambria Math" w:hAnsi="Cambria Math"/>
            <w:color w:val="auto"/>
            <w:sz w:val="24"/>
            <w:szCs w:val="24"/>
          </w:rPr>
          <m:t xml:space="preserve"> =0.0154×</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E</m:t>
                </m:r>
              </m:num>
              <m:den>
                <m:r>
                  <m:rPr>
                    <m:sty m:val="bi"/>
                  </m:rPr>
                  <w:rPr>
                    <w:rFonts w:ascii="Cambria Math" w:hAnsi="Cambria Math"/>
                    <w:color w:val="auto"/>
                    <w:sz w:val="24"/>
                    <w:szCs w:val="24"/>
                  </w:rPr>
                  <m:t>H</m:t>
                </m:r>
              </m:den>
            </m:f>
            <m:r>
              <m:rPr>
                <m:sty m:val="bi"/>
              </m:rPr>
              <w:rPr>
                <w:rFonts w:ascii="Cambria Math" w:hAnsi="Cambria Math"/>
                <w:color w:val="auto"/>
                <w:sz w:val="24"/>
                <w:szCs w:val="24"/>
              </w:rPr>
              <m:t>)</m:t>
            </m:r>
          </m:e>
          <m:sup>
            <m:r>
              <m:rPr>
                <m:sty m:val="bi"/>
              </m:rPr>
              <w:rPr>
                <w:rFonts w:ascii="Cambria Math" w:hAnsi="Cambria Math"/>
                <w:color w:val="auto"/>
                <w:sz w:val="24"/>
                <w:szCs w:val="24"/>
              </w:rPr>
              <m:t>1/2</m:t>
            </m:r>
          </m:sup>
        </m:sSup>
        <m:r>
          <m:rPr>
            <m:sty m:val="bi"/>
          </m:rPr>
          <w:rPr>
            <w:rFonts w:ascii="Cambria Math" w:hAnsi="Cambria Math"/>
            <w:color w:val="auto"/>
            <w:sz w:val="24"/>
            <w:szCs w:val="24"/>
          </w:rPr>
          <m:t>×</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P</m:t>
                </m:r>
              </m:num>
              <m:den>
                <m:r>
                  <m:rPr>
                    <m:sty m:val="bi"/>
                  </m:rPr>
                  <w:rPr>
                    <w:rFonts w:ascii="Cambria Math" w:hAnsi="Cambria Math"/>
                    <w:color w:val="auto"/>
                    <w:sz w:val="24"/>
                    <w:szCs w:val="24"/>
                  </w:rPr>
                  <m:t>C</m:t>
                </m:r>
              </m:den>
            </m:f>
            <m:r>
              <m:rPr>
                <m:sty m:val="bi"/>
              </m:rPr>
              <w:rPr>
                <w:rFonts w:ascii="Cambria Math" w:hAnsi="Cambria Math"/>
                <w:color w:val="auto"/>
                <w:sz w:val="24"/>
                <w:szCs w:val="24"/>
              </w:rPr>
              <m:t>)</m:t>
            </m:r>
          </m:e>
          <m:sup>
            <m:r>
              <m:rPr>
                <m:sty m:val="bi"/>
              </m:rPr>
              <w:rPr>
                <w:rFonts w:ascii="Cambria Math" w:hAnsi="Cambria Math"/>
                <w:color w:val="auto"/>
                <w:sz w:val="24"/>
                <w:szCs w:val="24"/>
              </w:rPr>
              <m:t>1.5</m:t>
            </m:r>
          </m:sup>
        </m:sSup>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3</w:t>
      </w:r>
      <w:r w:rsidRPr="00426D9F">
        <w:rPr>
          <w:rFonts w:ascii="Times" w:hAnsi="Times"/>
          <w:color w:val="auto"/>
          <w:sz w:val="24"/>
          <w:szCs w:val="24"/>
        </w:rPr>
        <w:fldChar w:fldCharType="end"/>
      </w:r>
      <w:r w:rsidRPr="00426D9F">
        <w:rPr>
          <w:rFonts w:ascii="Times" w:hAnsi="Times"/>
          <w:color w:val="auto"/>
          <w:sz w:val="24"/>
          <w:szCs w:val="24"/>
        </w:rPr>
        <w:t xml:space="preserve"> )</w:t>
      </w:r>
    </w:p>
    <w:p w14:paraId="62941D13"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 </w:t>
      </w:r>
    </w:p>
    <w:p w14:paraId="2C861E7C" w14:textId="77777777" w:rsidR="007C548F" w:rsidRPr="007C548F" w:rsidRDefault="007C548F" w:rsidP="007C548F">
      <w:pPr>
        <w:pStyle w:val="normal0"/>
        <w:spacing w:line="360" w:lineRule="auto"/>
        <w:rPr>
          <w:rFonts w:ascii="Times" w:hAnsi="Times"/>
          <w:sz w:val="24"/>
        </w:rPr>
      </w:pPr>
      <w:proofErr w:type="gramStart"/>
      <w:r w:rsidRPr="007C548F">
        <w:rPr>
          <w:rFonts w:ascii="Times" w:hAnsi="Times"/>
          <w:sz w:val="24"/>
        </w:rPr>
        <w:t>where</w:t>
      </w:r>
      <w:proofErr w:type="gramEnd"/>
      <w:r w:rsidRPr="007C548F">
        <w:rPr>
          <w:rFonts w:ascii="Times" w:hAnsi="Times"/>
          <w:sz w:val="24"/>
        </w:rPr>
        <w:t xml:space="preserve"> 0.0154 is a calibration constant, E is an elastic modulus (empirically determined for </w:t>
      </w:r>
      <w:r w:rsidRPr="007C548F">
        <w:rPr>
          <w:rFonts w:ascii="Times" w:hAnsi="Times"/>
          <w:i/>
          <w:sz w:val="24"/>
        </w:rPr>
        <w:t xml:space="preserve">C. gigas </w:t>
      </w:r>
      <w:r w:rsidRPr="007C548F">
        <w:rPr>
          <w:rFonts w:ascii="Times" w:hAnsi="Times"/>
          <w:sz w:val="24"/>
        </w:rPr>
        <w:t xml:space="preserve">as 73 GPa: </w:t>
      </w:r>
      <w:r w:rsidRPr="007C548F">
        <w:rPr>
          <w:rFonts w:ascii="Times" w:hAnsi="Times"/>
          <w:sz w:val="24"/>
        </w:rPr>
        <w:fldChar w:fldCharType="begin" w:fldLock="1"/>
      </w:r>
      <w:r w:rsidRPr="007C548F">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et al., 2008)"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Lee et al., 2008)</w:t>
      </w:r>
      <w:r w:rsidRPr="007C548F">
        <w:rPr>
          <w:rFonts w:ascii="Times" w:hAnsi="Times"/>
          <w:sz w:val="24"/>
        </w:rPr>
        <w:fldChar w:fldCharType="end"/>
      </w:r>
      <w:r w:rsidRPr="007C548F">
        <w:rPr>
          <w:rFonts w:ascii="Times" w:hAnsi="Times"/>
          <w:sz w:val="24"/>
        </w:rPr>
        <w:t xml:space="preserve">, H is hardness in GPa, P is applied load in N and C is crack radius in μm. </w:t>
      </w:r>
    </w:p>
    <w:p w14:paraId="29443F72" w14:textId="304C58EF" w:rsidR="00426D9F" w:rsidRPr="007C548F" w:rsidRDefault="007C548F" w:rsidP="007C548F">
      <w:pPr>
        <w:pStyle w:val="normal0"/>
        <w:spacing w:line="360" w:lineRule="auto"/>
        <w:ind w:firstLine="720"/>
        <w:rPr>
          <w:rFonts w:ascii="Times" w:hAnsi="Times"/>
          <w:sz w:val="24"/>
        </w:rPr>
      </w:pPr>
      <w:r w:rsidRPr="007C548F">
        <w:rPr>
          <w:rFonts w:ascii="Times" w:hAnsi="Times"/>
          <w:sz w:val="24"/>
        </w:rPr>
        <w:t>Statistical analysis for micromechanical properties was conducted using SPSS (Ver. 19, IBM, Armonk, NY, USA). Outliers were calculated in SPSS as values greater than 1.5 times the interquartile range below or above the first or third quartile respectively, and were removed from the dataset (at most two per treatment group). Data were analyzed using one-way analysis of variance followed by post-hoc testing. Normality and equal variance was tested using a Kolmogorov–Smirnov test with Lilliefor’s correction and a Levene test, respectively. Fracture toughness data met both assumptions and a Tukey HSD post-hoc test was used. As hardness data was normally distributed but did not meet the equal variance assumption, a Welch ANOVA followed by Games-Howell post-hoc testing was applied.</w:t>
      </w:r>
    </w:p>
    <w:p w14:paraId="0D580E19" w14:textId="4F7F34CF" w:rsidR="00732DA8" w:rsidRDefault="00732DA8" w:rsidP="00732DA8">
      <w:pPr>
        <w:pStyle w:val="Heading3"/>
      </w:pPr>
      <w:bookmarkStart w:id="54" w:name="_Toc252110014"/>
      <w:r>
        <w:t>Fatty acid analysis</w:t>
      </w:r>
      <w:bookmarkEnd w:id="54"/>
    </w:p>
    <w:p w14:paraId="5E19BE9E" w14:textId="77777777" w:rsidR="00C85C10" w:rsidRPr="00C85C10" w:rsidRDefault="00C85C10" w:rsidP="00C85C10"/>
    <w:p w14:paraId="5383E460" w14:textId="5DE761BC" w:rsidR="00426D9F" w:rsidRPr="009454B5" w:rsidRDefault="007C548F" w:rsidP="009454B5">
      <w:pPr>
        <w:spacing w:line="360" w:lineRule="auto"/>
        <w:ind w:firstLine="720"/>
        <w:rPr>
          <w:rFonts w:ascii="Times" w:hAnsi="Times"/>
        </w:rPr>
      </w:pPr>
      <w:r w:rsidRPr="00183126">
        <w:rPr>
          <w:rFonts w:ascii="Times" w:hAnsi="Times"/>
          <w:szCs w:val="22"/>
        </w:rPr>
        <w:t xml:space="preserve">Fatty acid analysis was carried out on oysters from three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 xml:space="preserve">2 </w:t>
      </w:r>
      <w:r w:rsidRPr="00183126">
        <w:rPr>
          <w:rFonts w:ascii="Times" w:hAnsi="Times"/>
          <w:szCs w:val="22"/>
        </w:rPr>
        <w:t xml:space="preserve">treatments (400, 800, and 2800 µatm; n = 8 per treatment). Whole body tissue (minus the dissected gill) was lyophilized overnight and tissues were homogenized with a pestle for use in fatty acid extractions (2.5 mg per extraction).  Extractions were performed following the protocol described in </w:t>
      </w:r>
      <w:r w:rsidRPr="00183126">
        <w:rPr>
          <w:rFonts w:ascii="Times" w:hAnsi="Times"/>
          <w:szCs w:val="22"/>
        </w:rPr>
        <w:fldChar w:fldCharType="begin" w:fldLock="1"/>
      </w:r>
      <w:r w:rsidRPr="00183126">
        <w:rPr>
          <w:rFonts w:ascii="Times" w:hAnsi="Times"/>
          <w:szCs w:val="22"/>
        </w:rPr>
        <w:instrText>ADDIN CSL_CITATION { "citationItems" : [ { "id" : "ITEM-1", "itemData" : { "DOI" : "10.1111/j.1529-8817.2012.01173.x", "ISSN" : "00223646", "author" : [ { "dropping-particle" : "", "family" : "Galloway", "given" : "Aaron W. E.", "non-dropping-particle" : "", "parse-names" : false, "suffix" : "" }, { "dropping-particle" : "", "family" : "Britton-Simmons", "given" : "Kevin H.", "non-dropping-particle" : "", "parse-names" : false, "suffix" : "" }, { "dropping-particle" : "", "family" : "Duggins", "given" : "David O.", "non-dropping-particle" : "", "parse-names" : false, "suffix" : "" }, { "dropping-particle" : "", "family" : "Gabrielson", "given" : "Paul W.", "non-dropping-particle" : "", "parse-names" : false, "suffix" : "" }, { "dropping-particle" : "", "family" : "Brett", "given" : "Michael T.", "non-dropping-particle" : "", "parse-names" : false, "suffix" : "" } ], "container-title" : "Journal of Phycology", "id" : "ITEM-1", "issue" : "4", "issued" : { "date-parts" : [ [ "2012", "8", "15" ] ] }, "page" : "956-965", "title" : "Fatty Acid Signatures Differentiate Marine Macrophytes At Ordinal and Family Ranks1", "type" : "article-journal", "volume" : "48" }, "uris" : [ "http://www.mendeley.com/documents/?uuid=8324e10e-bd7e-411b-bdaa-5a037c1f7a9d" ] } ], "mendeley" : { "manualFormatting" : "Galloway et al. (2012)", "previouslyFormattedCitation" : "(Galloway, Britton-Simmons, Duggins, Gabrielson, &amp; Brett, 2012)" }, "properties" : { "noteIndex" : 0 }, "schema" : "https://github.com/citation-style-language/schema/raw/master/csl-citation.json" }</w:instrText>
      </w:r>
      <w:r w:rsidRPr="00183126">
        <w:rPr>
          <w:rFonts w:ascii="Times" w:hAnsi="Times"/>
          <w:szCs w:val="22"/>
        </w:rPr>
        <w:fldChar w:fldCharType="separate"/>
      </w:r>
      <w:r w:rsidRPr="00183126">
        <w:rPr>
          <w:rFonts w:ascii="Times" w:hAnsi="Times"/>
          <w:noProof/>
          <w:szCs w:val="22"/>
        </w:rPr>
        <w:t>Galloway et al. (2012)</w:t>
      </w:r>
      <w:r w:rsidRPr="00183126">
        <w:rPr>
          <w:rFonts w:ascii="Times" w:hAnsi="Times"/>
          <w:szCs w:val="22"/>
        </w:rPr>
        <w:fldChar w:fldCharType="end"/>
      </w:r>
      <w:r w:rsidRPr="00183126">
        <w:rPr>
          <w:rFonts w:ascii="Times" w:hAnsi="Times"/>
          <w:szCs w:val="22"/>
        </w:rPr>
        <w:t xml:space="preserve"> except two chloroform removals were carried out.  </w:t>
      </w:r>
      <w:proofErr w:type="gramStart"/>
      <w:r w:rsidRPr="00183126">
        <w:rPr>
          <w:rFonts w:ascii="Times" w:hAnsi="Times"/>
          <w:szCs w:val="22"/>
        </w:rPr>
        <w:t>Fatty acid methyl esters were identified by running the samples on a HP 6958 gas chromatograph with an auto-sampler and flame-ionization detector using an Agilent DB-23 column</w:t>
      </w:r>
      <w:proofErr w:type="gramEnd"/>
      <w:r w:rsidRPr="00183126">
        <w:rPr>
          <w:rFonts w:ascii="Times" w:hAnsi="Times"/>
          <w:szCs w:val="22"/>
        </w:rPr>
        <w:t xml:space="preserve"> (30 m, 0.25 mm diameter, 0.15 µm film) (Supelco, Bellefonte, PA, USA). Peaks were identified based on comparison of retention times with known standards.  Individual amounts of fatty acids were normalized within each replicate by dividing the peak area by the sum of all fatty acid peak areas for that sample.  Normalized fatty acid data were log-transformed and non-metric multidimensional scaling (NMDS) based on a Bray-Curtis dissimilarity matrix was used to compare fatty acid profiles among treatments.  NMDS was performed in R with the vegan package (R Core Team, 2013; Oksanen et al., 2013). </w:t>
      </w:r>
      <w:r w:rsidR="00426D9F" w:rsidRPr="009454B5">
        <w:rPr>
          <w:rFonts w:ascii="Times" w:hAnsi="Times"/>
        </w:rPr>
        <w:t xml:space="preserve">  </w:t>
      </w:r>
    </w:p>
    <w:p w14:paraId="7DA7D08B" w14:textId="05DD1DFB" w:rsidR="00732DA8" w:rsidRDefault="00732DA8" w:rsidP="00732DA8">
      <w:pPr>
        <w:pStyle w:val="Heading3"/>
      </w:pPr>
      <w:bookmarkStart w:id="55" w:name="_Toc252110015"/>
      <w:r>
        <w:t>Heat shock</w:t>
      </w:r>
      <w:bookmarkEnd w:id="55"/>
    </w:p>
    <w:p w14:paraId="1CB28FF0" w14:textId="77777777" w:rsidR="00C85C10" w:rsidRPr="00C85C10" w:rsidRDefault="00C85C10" w:rsidP="00C85C10"/>
    <w:p w14:paraId="039EBF1A" w14:textId="77777777" w:rsidR="007C548F" w:rsidRPr="007C548F" w:rsidRDefault="007C548F" w:rsidP="007C548F">
      <w:pPr>
        <w:pStyle w:val="normal0"/>
        <w:spacing w:line="360" w:lineRule="auto"/>
        <w:ind w:firstLine="720"/>
        <w:rPr>
          <w:rFonts w:ascii="Times" w:hAnsi="Times"/>
          <w:sz w:val="24"/>
        </w:rPr>
      </w:pPr>
      <w:r w:rsidRPr="007C548F">
        <w:rPr>
          <w:rFonts w:ascii="Times" w:hAnsi="Times"/>
          <w:sz w:val="24"/>
        </w:rPr>
        <w:t xml:space="preserve">Oysters from each of the </w:t>
      </w:r>
      <w:r w:rsidRPr="007C548F">
        <w:rPr>
          <w:rFonts w:ascii="Times" w:hAnsi="Times"/>
          <w:i/>
          <w:sz w:val="24"/>
        </w:rPr>
        <w:t>p</w:t>
      </w:r>
      <w:r w:rsidRPr="007C548F">
        <w:rPr>
          <w:rFonts w:ascii="Times" w:hAnsi="Times"/>
          <w:sz w:val="24"/>
        </w:rPr>
        <w:t>CO</w:t>
      </w:r>
      <w:r w:rsidRPr="007C548F">
        <w:rPr>
          <w:rFonts w:ascii="Times" w:hAnsi="Times"/>
          <w:sz w:val="24"/>
          <w:vertAlign w:val="subscript"/>
        </w:rPr>
        <w:t xml:space="preserve">2 </w:t>
      </w:r>
      <w:r w:rsidRPr="007C548F">
        <w:rPr>
          <w:rFonts w:ascii="Times" w:hAnsi="Times"/>
          <w:sz w:val="24"/>
        </w:rPr>
        <w:t xml:space="preserve">treatments of 400, 800, 1000, and 2800 µatm were subjected to acute heat shock.  Three temperature shocks were implemented consisting of two sublethal temperatures (42° and 43°C) and one lethal temperature (44°C).  The lethal heat shock temperature was previously determined for this group of oysters and is defined as the temperature at which 100% mortality occurs within one week after a one hour exposure </w:t>
      </w:r>
      <w:r w:rsidRPr="007C548F">
        <w:rPr>
          <w:rFonts w:ascii="Times" w:hAnsi="Times"/>
          <w:sz w:val="24"/>
        </w:rPr>
        <w:fldChar w:fldCharType="begin" w:fldLock="1"/>
      </w:r>
      <w:r w:rsidRPr="007C548F">
        <w:rPr>
          <w:rFonts w:ascii="Times" w:hAnsi="Times"/>
          <w:sz w:val="24"/>
        </w:rPr>
        <w:instrText>ADDIN CSL_CITATION { "citationItems" : [ { "id" : "ITEM-1", "itemData" : { "author" : [ { "dropping-particle" : "", "family" : "Clegg", "given" : "J S", "non-dropping-particle" : "", "parse-names" : false, "suffix" : "" }, { "dropping-particle" : "", "family" : "Uhlinger", "given" : "K R", "non-dropping-particle" : "", "parse-names" : false, "suffix" : "" }, { "dropping-particle" : "", "family" : "Jackson", "given" : "S A", "non-dropping-particle" : "", "parse-names" : false, "suffix" : "" } ], "id" : "ITEM-1", "issue" : "1998", "issued" : { "date-parts" : [ [ "2009" ] ] }, "page" : "21-30", "title" : "Induced thermotolerance and the heat shock protein \u2013 70 family in the Pacific oyster Crassostrea gigas", "type" : "article-journal", "volume" : "7" }, "uris" : [ "http://www.mendeley.com/documents/?uuid=335e0b9c-9321-4cbc-94fe-a79fdf078cec" ] } ], "mendeley" : { "manualFormatting" : "(Clegg et al., 2009)", "previouslyFormattedCitation" : "(Clegg, Uhlinger, &amp; Jackson, 2009)"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(Clegg et al., 2009)</w:t>
      </w:r>
      <w:r w:rsidRPr="007C548F">
        <w:rPr>
          <w:rFonts w:ascii="Times" w:hAnsi="Times"/>
          <w:sz w:val="24"/>
        </w:rPr>
        <w:fldChar w:fldCharType="end"/>
      </w:r>
      <w:r w:rsidRPr="007C548F">
        <w:rPr>
          <w:rFonts w:ascii="Times" w:hAnsi="Times"/>
          <w:sz w:val="24"/>
        </w:rPr>
        <w:t>.  The heat shock exposure occurred in 800 mL of seawater equilibrated to the correct temperature in a circulating water bath.  Since oysters considerably decrease the temperature of the bath, we added a pre-heating step of 10 minutes in one beaker after which the oysters were transferred into another beaker for the full hour.  After heat shock, oysters were returned to the flow through system at pH = 8.03 and 13°C.  Mortality was the only parameter assessed for the temperature treatment.  Differences in mortality across treatments were assessed using the Cox proportional hazards regression model (Therneau 2013) in R (R Core Development Team, 2013) with pCO</w:t>
      </w:r>
      <w:r w:rsidRPr="007C548F">
        <w:rPr>
          <w:rFonts w:ascii="Times" w:hAnsi="Times"/>
          <w:sz w:val="24"/>
          <w:vertAlign w:val="subscript"/>
        </w:rPr>
        <w:t>2</w:t>
      </w:r>
      <w:r w:rsidRPr="007C548F">
        <w:rPr>
          <w:rFonts w:ascii="Times" w:hAnsi="Times"/>
          <w:sz w:val="24"/>
        </w:rPr>
        <w:t xml:space="preserve"> and temperature as variables.</w:t>
      </w:r>
    </w:p>
    <w:p w14:paraId="54E55E62" w14:textId="77777777" w:rsidR="00732DA8" w:rsidRPr="00732DA8" w:rsidRDefault="00732DA8" w:rsidP="00732DA8"/>
    <w:p w14:paraId="513B53B4" w14:textId="586C64B9" w:rsidR="00732DA8" w:rsidRDefault="00732DA8" w:rsidP="00732DA8">
      <w:pPr>
        <w:pStyle w:val="Heading3"/>
      </w:pPr>
      <w:bookmarkStart w:id="56" w:name="_Toc252110016"/>
      <w:r>
        <w:t>Liquid chromatography and tandem mass spectrometry (LC-MS/MS)</w:t>
      </w:r>
      <w:bookmarkEnd w:id="56"/>
    </w:p>
    <w:p w14:paraId="0948AA2E" w14:textId="77777777" w:rsidR="00C85C10" w:rsidRPr="00C85C10" w:rsidRDefault="00C85C10" w:rsidP="00C85C10"/>
    <w:p w14:paraId="2C60ACD9" w14:textId="711CE59A" w:rsidR="00732DA8" w:rsidRPr="00732DA8" w:rsidRDefault="007C548F" w:rsidP="00426D9F">
      <w:pPr>
        <w:spacing w:line="360" w:lineRule="auto"/>
        <w:ind w:firstLine="720"/>
      </w:pPr>
      <w:r w:rsidRPr="00183126">
        <w:rPr>
          <w:rFonts w:ascii="Times" w:hAnsi="Times"/>
          <w:szCs w:val="22"/>
        </w:rPr>
        <w:t xml:space="preserve">Protein extraction and desalting were performed on gill tissue from four mechanically stressed and four control oysters held in the present day and the highest treatment level, 400 and 2800 µatm, respectively (n = 16 oysters total) as described in </w:t>
      </w:r>
      <w:r w:rsidRPr="00183126">
        <w:rPr>
          <w:rFonts w:ascii="Times" w:hAnsi="Times"/>
          <w:szCs w:val="22"/>
        </w:rPr>
        <w:fldChar w:fldCharType="begin" w:fldLock="1"/>
      </w:r>
      <w:r w:rsidRPr="00183126">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(2013b)", "previouslyFormattedCitation" : "(E. Timmins-Schiffman, Nunn, Goodlett, &amp; Roberts, 2013)" }, "properties" : { "noteIndex" : 0 }, "schema" : "https://github.com/citation-style-language/schema/raw/master/csl-citation.json" }</w:instrText>
      </w:r>
      <w:r w:rsidRPr="00183126">
        <w:rPr>
          <w:rFonts w:ascii="Times" w:hAnsi="Times"/>
          <w:szCs w:val="22"/>
        </w:rPr>
        <w:fldChar w:fldCharType="separate"/>
      </w:r>
      <w:r w:rsidRPr="00183126">
        <w:rPr>
          <w:rFonts w:ascii="Times" w:hAnsi="Times"/>
          <w:noProof/>
          <w:szCs w:val="22"/>
        </w:rPr>
        <w:t>Timmins-Schiffman et al. (2013b)</w:t>
      </w:r>
      <w:r w:rsidRPr="00183126">
        <w:rPr>
          <w:rFonts w:ascii="Times" w:hAnsi="Times"/>
          <w:szCs w:val="22"/>
        </w:rPr>
        <w:fldChar w:fldCharType="end"/>
      </w:r>
      <w:r w:rsidRPr="00183126">
        <w:rPr>
          <w:rFonts w:ascii="Times" w:hAnsi="Times"/>
          <w:szCs w:val="22"/>
        </w:rPr>
        <w:t xml:space="preserve">.  Each of the 16 protein samples was injected into the LC-MS/MS three times, with injections occurring in a randomized order.  LC-MS/MS and data acquisition were carried out as previously described </w:t>
      </w:r>
      <w:r w:rsidRPr="00183126">
        <w:rPr>
          <w:rFonts w:ascii="Times" w:hAnsi="Times"/>
          <w:szCs w:val="22"/>
        </w:rPr>
        <w:fldChar w:fldCharType="begin" w:fldLock="1"/>
      </w:r>
      <w:r w:rsidRPr="00183126">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2013b)", "previouslyFormattedCitation" : "(E. Timmins-Schiffman et al., 2013)" }, "properties" : { "noteIndex" : 0 }, "schema" : "https://github.com/citation-style-language/schema/raw/master/csl-citation.json" }</w:instrText>
      </w:r>
      <w:r w:rsidRPr="00183126">
        <w:rPr>
          <w:rFonts w:ascii="Times" w:hAnsi="Times"/>
          <w:szCs w:val="22"/>
        </w:rPr>
        <w:fldChar w:fldCharType="separate"/>
      </w:r>
      <w:r w:rsidRPr="00183126">
        <w:rPr>
          <w:rFonts w:ascii="Times" w:hAnsi="Times"/>
          <w:noProof/>
          <w:szCs w:val="22"/>
        </w:rPr>
        <w:t>(Timmins-Schiffman et al., 2013b)</w:t>
      </w:r>
      <w:r w:rsidRPr="00183126">
        <w:rPr>
          <w:rFonts w:ascii="Times" w:hAnsi="Times"/>
          <w:szCs w:val="22"/>
        </w:rPr>
        <w:fldChar w:fldCharType="end"/>
      </w:r>
      <w:r w:rsidRPr="00183126">
        <w:rPr>
          <w:rFonts w:ascii="Times" w:hAnsi="Times"/>
          <w:szCs w:val="22"/>
        </w:rPr>
        <w:t>.</w:t>
      </w:r>
    </w:p>
    <w:p w14:paraId="301F8A64" w14:textId="450CFB77" w:rsidR="00732DA8" w:rsidRDefault="00732DA8" w:rsidP="00732DA8">
      <w:pPr>
        <w:pStyle w:val="Heading3"/>
      </w:pPr>
      <w:bookmarkStart w:id="57" w:name="_Toc252110017"/>
      <w:r>
        <w:t>Protein informatics analysis</w:t>
      </w:r>
      <w:bookmarkEnd w:id="57"/>
    </w:p>
    <w:p w14:paraId="43B55ED5" w14:textId="77777777" w:rsidR="00C85C10" w:rsidRPr="00C85C10" w:rsidRDefault="00C85C10" w:rsidP="00C85C10"/>
    <w:p w14:paraId="3A982FCD" w14:textId="77777777" w:rsidR="007C548F" w:rsidRPr="007C548F" w:rsidRDefault="007C548F" w:rsidP="007C548F">
      <w:pPr>
        <w:pStyle w:val="normal0"/>
        <w:spacing w:line="360" w:lineRule="auto"/>
        <w:ind w:firstLine="720"/>
        <w:rPr>
          <w:rFonts w:ascii="Times" w:hAnsi="Times"/>
          <w:sz w:val="24"/>
        </w:rPr>
      </w:pPr>
      <w:r w:rsidRPr="007C548F">
        <w:rPr>
          <w:rFonts w:ascii="Times" w:hAnsi="Times"/>
          <w:sz w:val="24"/>
        </w:rPr>
        <w:t xml:space="preserve">Peptide tandem mass spectra were correlated to </w:t>
      </w:r>
      <w:r w:rsidRPr="007C548F">
        <w:rPr>
          <w:rFonts w:ascii="Times" w:hAnsi="Times"/>
          <w:i/>
          <w:sz w:val="24"/>
        </w:rPr>
        <w:t>in silico</w:t>
      </w:r>
      <w:r w:rsidRPr="007C548F">
        <w:rPr>
          <w:rFonts w:ascii="Times" w:hAnsi="Times"/>
          <w:sz w:val="24"/>
        </w:rPr>
        <w:t xml:space="preserve">-generated tandem mass spectra resulting from the Pacific oyster proteome (Fang et al. 2012) using SEQUEST </w:t>
      </w:r>
      <w:r w:rsidRPr="007C548F">
        <w:rPr>
          <w:rFonts w:ascii="Times" w:hAnsi="Times"/>
          <w:sz w:val="24"/>
        </w:rPr>
        <w:fldChar w:fldCharType="begin" w:fldLock="1"/>
      </w:r>
      <w:r w:rsidRPr="007C548F">
        <w:rPr>
          <w:rFonts w:ascii="Times" w:hAnsi="Times"/>
          <w:sz w:val="24"/>
        </w:rPr>
        <w:instrText>ADDIN CSL_CITATION { "citationItems" : [ { "id" : "ITEM-1",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"ITEM-1",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1994)", "previouslyFormattedCitation" : "(Eng, Mccormack, &amp; Yates, 1994)"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(Eng et al., 1994)</w:t>
      </w:r>
      <w:r w:rsidRPr="007C548F">
        <w:rPr>
          <w:rFonts w:ascii="Times" w:hAnsi="Times"/>
          <w:sz w:val="24"/>
        </w:rPr>
        <w:fldChar w:fldCharType="end"/>
      </w:r>
      <w:r w:rsidRPr="007C548F">
        <w:rPr>
          <w:rFonts w:ascii="Times" w:hAnsi="Times"/>
          <w:sz w:val="24"/>
        </w:rPr>
        <w:t xml:space="preserve">.  Using PeptideProphet from the trans-proteomic pipeline (TPP), peptides were assigned a relative score for best match to the database </w:t>
      </w:r>
      <w:r w:rsidRPr="007C548F">
        <w:rPr>
          <w:rFonts w:ascii="Times" w:hAnsi="Times"/>
          <w:sz w:val="24"/>
        </w:rPr>
        <w:fldChar w:fldCharType="begin" w:fldLock="1"/>
      </w:r>
      <w:r w:rsidRPr="007C548F">
        <w:rPr>
          <w:rFonts w:ascii="Times" w:hAnsi="Times"/>
          <w:sz w:val="24"/>
        </w:rPr>
        <w:instrText>ADDIN CSL_CITATION { "citationItems" : [ { "id" : "ITEM-1", "itemData" : { "DOI" : "10.1021/pr800420s", "ISSN" : "1535-3893", "PMID" : "18774840", "abstract" : "The SEQUEST program was the first and remains one of the most widely used tools for assigning a peptide sequence within a database to a tandem mass spectrum. The cross correlation score is the primary score function implemented within SEQUEST and it is this score that makes the tool particularly sensitive. Unfortunately, this score is computationally expensive to calculate, and thus, to make the score manageable, SEQUEST uses a less sensitive but fast preliminary score and restricts the cross correlation to just the top 500 peptides returned by the preliminary score. Classically, the cross correlation score has been calculated using Fast Fourier Transforms (FFT) to generate the full correlation function. We describe an alternate method of calculating the cross correlation score that does not require FFTs and can be computed efficiently in a fraction of the time. The fast calculation allows all candidate peptides to be scored by the cross correlation function, potentially mitigating the need for the preliminary score, and enables an E-value significance calculation based on the cross correlation score distribution calculated on all candidate peptide sequences obtained from a sequence database.", "author" : [ { "dropping-particle" : "", "family" : "Eng", "given" : "Jimmy K", "non-dropping-particle" : "", "parse-names" : false, "suffix" : "" }, { "dropping-particle" : "", "family" : "Fischer", "given" : "Bernd", "non-dropping-particle" : "", "parse-names" : false, "suffix" : "" }, { "dropping-particle" : "", "family" : "Grossmann", "given" : "Jonas", "non-dropping-particle" : "", "parse-names" : false, "suffix" : "" }, { "dropping-particle" : "", "family" : "Maccoss", "given" : "Michael J", "non-dropping-particle" : "", "parse-names" : false, "suffix" : "" } ], "container-title" : "Journal of proteome research", "id" : "ITEM-1", "issue" : "10", "issued" : { "date-parts" : [ [ "2008", "10" ] ] }, "page" : "4598-602", "title" : "A fast SEQUEST cross correlation algorithm.", "type" : "article-journal", "volume" : "7" }, "uris" : [ "http://www.mendeley.com/documents/?uuid=75c6c0b3-a5d0-461b-b555-9f6bed74dca3" ] }, { "id" : "ITEM-2",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"ITEM-2",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2008; Eng et al., 1994)", "previouslyFormattedCitation" : "(Eng, Fischer, Grossmann, &amp; Maccoss, 2008; Eng et al., 1994)"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(Eng et al., 2008; Eng et al., 1994)</w:t>
      </w:r>
      <w:r w:rsidRPr="007C548F">
        <w:rPr>
          <w:rFonts w:ascii="Times" w:hAnsi="Times"/>
          <w:sz w:val="24"/>
        </w:rPr>
        <w:fldChar w:fldCharType="end"/>
      </w:r>
      <w:r w:rsidRPr="007C548F">
        <w:rPr>
          <w:rFonts w:ascii="Times" w:hAnsi="Times"/>
          <w:sz w:val="24"/>
        </w:rPr>
        <w:t>.  Only peptides with a PeptideProphet probability score of at least 0.9 were considered for further analysis.  Additionally, a protein was considered for analysis only if it had at least 8 spectral counts across all 48 injections (1 spectral count = 1 peptide matched to that protein).  Within a biological replicate, a protein was considered to have a non-zero expression value if it had at least 2 unique peptide matches.</w:t>
      </w:r>
    </w:p>
    <w:p w14:paraId="7B6E902E" w14:textId="77777777" w:rsidR="007C548F" w:rsidRPr="007C548F" w:rsidRDefault="007C548F" w:rsidP="007C548F">
      <w:pPr>
        <w:pStyle w:val="normal0"/>
        <w:spacing w:line="360" w:lineRule="auto"/>
        <w:ind w:firstLine="720"/>
        <w:rPr>
          <w:rFonts w:ascii="Times" w:hAnsi="Times"/>
          <w:sz w:val="24"/>
        </w:rPr>
      </w:pPr>
      <w:r w:rsidRPr="007C548F">
        <w:rPr>
          <w:rFonts w:ascii="Times" w:hAnsi="Times"/>
          <w:sz w:val="24"/>
        </w:rPr>
        <w:t xml:space="preserve">NSAF (normalized spectral abundance factor), a metric based on spectral counting </w:t>
      </w:r>
      <w:r w:rsidRPr="007C548F">
        <w:rPr>
          <w:rFonts w:ascii="Times" w:hAnsi="Times"/>
          <w:sz w:val="24"/>
        </w:rPr>
        <w:fldChar w:fldCharType="begin" w:fldLock="1"/>
      </w:r>
      <w:r w:rsidRPr="007C548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(Florens et al., 2006)</w:t>
      </w:r>
      <w:r w:rsidRPr="007C548F">
        <w:rPr>
          <w:rFonts w:ascii="Times" w:hAnsi="Times"/>
          <w:sz w:val="24"/>
        </w:rPr>
        <w:fldChar w:fldCharType="end"/>
      </w:r>
      <w:r w:rsidRPr="007C548F">
        <w:rPr>
          <w:rFonts w:ascii="Times" w:hAnsi="Times"/>
          <w:sz w:val="24"/>
        </w:rPr>
        <w:t xml:space="preserve">, was used to quantify protein expression.  Total spectral counts (SpC) for each oyster were averaged across the three technical replicates.  NSAF was calculated by dividing average SpC for each protein by the protein length (L) and then dividing SpC/L by the sum of all SpC/L within a biological replicate </w:t>
      </w:r>
      <w:r w:rsidRPr="007C548F">
        <w:rPr>
          <w:rFonts w:ascii="Times" w:hAnsi="Times"/>
          <w:sz w:val="24"/>
        </w:rPr>
        <w:fldChar w:fldCharType="begin" w:fldLock="1"/>
      </w:r>
      <w:r w:rsidRPr="007C548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(Florens et al., 2006)</w:t>
      </w:r>
      <w:r w:rsidRPr="007C548F">
        <w:rPr>
          <w:rFonts w:ascii="Times" w:hAnsi="Times"/>
          <w:sz w:val="24"/>
        </w:rPr>
        <w:fldChar w:fldCharType="end"/>
      </w:r>
      <w:r w:rsidRPr="007C548F">
        <w:rPr>
          <w:rFonts w:ascii="Times" w:hAnsi="Times"/>
          <w:sz w:val="24"/>
        </w:rPr>
        <w:t>.  This workflow was executed in SQLshare (Howe et al., 2011; for access to workflow and all input files see http://figshare.com/articles/SQLShare_workflow_for_proteomics_analysis/894323).</w:t>
      </w:r>
    </w:p>
    <w:p w14:paraId="5B9E2434" w14:textId="77777777" w:rsidR="007C548F" w:rsidRPr="007C548F" w:rsidRDefault="007C548F" w:rsidP="007C548F">
      <w:pPr>
        <w:pStyle w:val="normal0"/>
        <w:spacing w:line="360" w:lineRule="auto"/>
        <w:ind w:firstLine="720"/>
        <w:rPr>
          <w:rFonts w:ascii="Times" w:hAnsi="Times"/>
          <w:sz w:val="24"/>
        </w:rPr>
      </w:pPr>
      <w:r w:rsidRPr="007C548F">
        <w:rPr>
          <w:rFonts w:ascii="Times" w:hAnsi="Times"/>
          <w:sz w:val="24"/>
        </w:rPr>
        <w:t>Oyster proteins (Fang et al. 2012) were annotated by comparing sequences to the UniProt-KB/SwissProt database (</w:t>
      </w:r>
      <w:hyperlink r:id="rId26">
        <w:r w:rsidRPr="007C548F">
          <w:rPr>
            <w:rFonts w:ascii="Times" w:hAnsi="Times"/>
            <w:color w:val="1155CC"/>
            <w:sz w:val="24"/>
            <w:u w:val="single"/>
          </w:rPr>
          <w:t>http://uniprot.org</w:t>
        </w:r>
      </w:hyperlink>
      <w:r w:rsidRPr="007C548F">
        <w:rPr>
          <w:rFonts w:ascii="Times" w:hAnsi="Times"/>
          <w:sz w:val="24"/>
        </w:rPr>
        <w:t xml:space="preserve">) using the blastp algorithm </w:t>
      </w:r>
      <w:r w:rsidRPr="007C548F">
        <w:rPr>
          <w:rFonts w:ascii="Times" w:hAnsi="Times"/>
          <w:sz w:val="24"/>
        </w:rPr>
        <w:fldChar w:fldCharType="begin" w:fldLock="1"/>
      </w:r>
      <w:r w:rsidRPr="007C548F">
        <w:rPr>
          <w:rFonts w:ascii="Times" w:hAnsi="Times"/>
          <w:sz w:val="24"/>
        </w:rPr>
        <w:instrText>ADDIN CSL_CITATION { "citationItems" : [ { "id" : "ITEM-1", "itemData" : { "ISSN" : "0305-1048", "PMID" : "9254694", "abstract" : "The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 "author" : [ { "dropping-particle" : "", "family" : "Altschul", "given" : "S F", "non-dropping-particle" : "", "parse-names" : false, "suffix" : "" }, { "dropping-particle" : "", "family" : "Madden", "given" : "T L", "non-dropping-particle" : "", "parse-names" : false, "suffix" : "" }, { "dropping-particle" : "", "family" : "Sch\u00e4ffer", "given" : "a a", "non-dropping-particle" : "", "parse-names" : false, "suffix" : "" }, { "dropping-particle" : "", "family" : "Zhang", "given" : "J", "non-dropping-particle" : "", "parse-names" : false, "suffix" : "" }, { "dropping-particle" : "", "family" : "Zhang", "given" : "Z", "non-dropping-particle" : "", "parse-names" : false, "suffix" : "" }, { "dropping-particle" : "", "family" : "Miller", "given" : "W", "non-dropping-particle" : "", "parse-names" : false, "suffix" : "" }, { "dropping-particle" : "", "family" : "Lipman", "given" : "D J", "non-dropping-particle" : "", "parse-names" : false, "suffix" : "" } ], "container-title" : "Nucleic acids research", "id" : "ITEM-1", "issue" : "17", "issued" : { "date-parts" : [ [ "1997", "9", "1" ] ] }, "page" : "3389-402", "title" : "Gapped BLAST and PSI-BLAST: a new generation of protein database search programs.", "type" : "article-journal", "volume" : "25" }, "uris" : [ "http://www.mendeley.com/documents/?uuid=8535eb29-4127-4a8d-a8d7-b92d8f780b39" ] } ], "mendeley" : { "previouslyFormattedCitation" : "(Altschul et al., 1997)"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(Altschul et al., 1997)</w:t>
      </w:r>
      <w:r w:rsidRPr="007C548F">
        <w:rPr>
          <w:rFonts w:ascii="Times" w:hAnsi="Times"/>
          <w:sz w:val="24"/>
        </w:rPr>
        <w:fldChar w:fldCharType="end"/>
      </w:r>
      <w:r w:rsidRPr="007C548F">
        <w:rPr>
          <w:rFonts w:ascii="Times" w:hAnsi="Times"/>
          <w:sz w:val="24"/>
        </w:rPr>
        <w:t xml:space="preserve"> with an e-value limit of 1E-10.  Based on homology with the SwissProt database, oyster proteins were further annotated with Gene Ontology (GO) and GO parent categories (GO Slim).</w:t>
      </w:r>
    </w:p>
    <w:p w14:paraId="47843B9D" w14:textId="2CDFFCEB" w:rsidR="00732DA8" w:rsidRPr="007C548F" w:rsidRDefault="007C548F" w:rsidP="007C548F">
      <w:pPr>
        <w:pStyle w:val="normal0"/>
        <w:spacing w:line="360" w:lineRule="auto"/>
        <w:ind w:firstLine="720"/>
        <w:rPr>
          <w:rFonts w:ascii="Times" w:hAnsi="Times"/>
          <w:sz w:val="24"/>
        </w:rPr>
      </w:pPr>
      <w:r w:rsidRPr="007C548F">
        <w:rPr>
          <w:rFonts w:ascii="Times" w:hAnsi="Times"/>
          <w:sz w:val="24"/>
        </w:rPr>
        <w:t xml:space="preserve">Fold change in protein expression between treatment groups was found by dividing the average NSAF of four biological replicates in one treatment by the average NSAF of the other treatment.  In order to statistically test for significant expression differences treatments were compared in a pairwise fashion (400 vs. 2800 µatm, 400 µatm vs. 400 + mechanical stress, and 2800 µatm vs. 2800 + mechanical stress) using the qvalue package in R (R Core Team, 2013; Dabney and Storey) with a q-value cut-off of 0.10.  Use of a q-value instead of a p-value from a t-test allows for a multiple comparisons correction using the positive false discovery rate </w:t>
      </w:r>
      <w:r w:rsidRPr="007C548F">
        <w:rPr>
          <w:rFonts w:ascii="Times" w:hAnsi="Times"/>
          <w:sz w:val="24"/>
        </w:rPr>
        <w:fldChar w:fldCharType="begin" w:fldLock="1"/>
      </w:r>
      <w:r w:rsidRPr="007C548F">
        <w:rPr>
          <w:rFonts w:ascii="Times" w:hAnsi="Times"/>
          <w:sz w:val="24"/>
        </w:rPr>
        <w:instrText>ADDIN CSL_CITATION { "citationItems" : [ { "id" : "ITEM-1", "itemData" : { "DOI" : "10.1111/1467-9868.00346", "ISSN" : "13697412", "author" : [ { "dropping-particle" : "", "family" : "Storey", "given" : "John D.", "non-dropping-particle" : "", "parse-names" : false, "suffix" : "" } ], "container-title" : "Journal of the Royal Statistical Society: Series B (Statistical Methodology)", "id" : "ITEM-1", "issue" : "3", "issued" : { "date-parts" : [ [ "2002", "8" ] ] }, "page" : "479-498", "title" : "A direct approach to false discovery rates", "type" : "article-journal", "volume" : "64" }, "uris" : [ "http://www.mendeley.com/documents/?uuid=ce9f64ba-b62c-4aa8-b75f-2cc9597d5291" ] }, { "id" : "ITEM-2", "itemData" : { "DOI" : "10.1073/pnas.1530509100", "ISSN" : "0027-8424", "PMID" : "12883005", "abstract" : "With the increase in genomewide experiments and the sequencing of multiple genomes, the analysis of large data sets has become commonplace in biology. It is often the case that thousands of features in a genomewide data set are tested against some null hypothesis, where a number of features are expected to be significant. Here we propose an approach to measuring statistical significance in these genomewide studies based on the concept of the false discovery rate. This approach offers a sensible balance between the number of true and false positives that is automatically calibrated and easily interpreted. In doing so, a measure of statistical significance called the q value is associated with each tested feature. The q value is similar to the well known p value, except it is a measure of significance in terms of the false discovery rate rather than the false positive rate. Our approach avoids a flood of false positive results, while offering a more liberal criterion than what has been used in genome scans for linkage.", "author" : [ { "dropping-particle" : "", "family" : "Storey", "given" : "John D", "non-dropping-particle" : "", "parse-names" : false, "suffix" : "" }, { "dropping-particle" : "", "family" : "Tibshirani", "given" : "Robert", "non-dropping-particle" : "", "parse-names" : false, "suffix" : "" } ], "container-title" : "Proceedings of the National Academy of Sciences of the United States of America", "id" : "ITEM-2", "issue" : "16", "issued" : { "date-parts" : [ [ "2003", "8", "5" ] ] }, "page" : "9440-5", "title" : "Statistical significance for genomewide studies.", "type" : "article-journal", "volume" : "100" }, "uris" : [ "http://www.mendeley.com/documents/?uuid=1ef88696-211a-45f3-ae0c-d1644ad17d82" ] } ], "mendeley" : { "manualFormatting" : "(Storey and Tibshirani, 2003; Storey, 2002)", "previouslyFormattedCitation" : "(Storey &amp; Tibshirani, 2003; Storey, 2002)"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(Storey and Tibshirani, 2003; Storey, 2002)</w:t>
      </w:r>
      <w:r w:rsidRPr="007C548F">
        <w:rPr>
          <w:rFonts w:ascii="Times" w:hAnsi="Times"/>
          <w:sz w:val="24"/>
        </w:rPr>
        <w:fldChar w:fldCharType="end"/>
      </w:r>
      <w:r w:rsidRPr="007C548F">
        <w:rPr>
          <w:rFonts w:ascii="Times" w:hAnsi="Times"/>
          <w:sz w:val="24"/>
        </w:rPr>
        <w:t xml:space="preserve">.  In an effort to determine the biological processes that were influenced by altered environmental conditions, proteins were considered differentially expressed if either there was 1) a 2-fold difference in expression between treatment groups or 2) a q-value &lt; 0.10. The two caveats to these classifications were that only proteins expressed in more than one oyster were considered for fold-based analysis and only proteins expressed by all oysters within a treatment group were considered significant for the q-value cut-off.  Proteins expressed in only one treatment within a comparison were included in the differentially expressed protein group.  These differentially expressed proteins were visualized in iPath2 using Uniprot-KB/SwissProt annotations </w:t>
      </w:r>
      <w:r w:rsidRPr="007C548F">
        <w:rPr>
          <w:rFonts w:ascii="Times" w:hAnsi="Times"/>
          <w:sz w:val="24"/>
        </w:rPr>
        <w:fldChar w:fldCharType="begin" w:fldLock="1"/>
      </w:r>
      <w:r w:rsidRPr="007C548F">
        <w:rPr>
          <w:rFonts w:ascii="Times" w:hAnsi="Times"/>
          <w:sz w:val="24"/>
        </w:rPr>
        <w:instrText>ADDIN CSL_CITATION { "citationItems" : [ { "id" : "ITEM-1", "itemData" : { "DOI" : "10.1093/nar/gkr313", "ISSN" : "1362-4962", "PMID" : "21546551", "abstract" : "iPath2.0 is a web-based tool (http://pathways.embl.de) for the visualization and analysis of cellular pathways. Its primary map summarizes the metabolism in biological systems as annotated to date. Nodes in the map correspond to various chemical compounds and edges represent series of enzymatic reactions. In two other maps, iPath2.0 provides an overview of secondary metabolite biosynthesis and a hand-picked selection of important regulatory pathways and other functional modules, allowing a more general overview of protein functions in a genome or metagenome. iPath2.0's main interface is an interactive Flash-based viewer, which allows users to easily navigate and explore the complex pathway maps. In addition to the default pre-computed overview maps, iPath offers several data mapping tools. Users can upload various types of data and completely customize all nodes and edges of iPath2.0's maps. These customized maps give users an intuitive overview of their own data, guiding the analysis of various genomics and metagenomics projects.", "author" : [ { "dropping-particle" : "", "family" : "Yamada", "given" : "Takuji", "non-dropping-particle" : "", "parse-names" : false, "suffix" : "" }, { "dropping-particle" : "", "family" : "Letunic", "given" : "Ivica", "non-dropping-particle" : "", "parse-names" : false, "suffix" : "" }, { "dropping-particle" : "", "family" : "Okuda", "given" : "Shujiro", "non-dropping-particle" : "", "parse-names" : false, "suffix" : "" }, { "dropping-particle" : "", "family" : "Kanehisa", "given" : "Minoru", "non-dropping-particle" : "", "parse-names" : false, "suffix" : "" }, { "dropping-particle" : "", "family" : "Bork", "given" : "Peer", "non-dropping-particle" : "", "parse-names" : false, "suffix" : "" } ], "container-title" : "Nucleic acids research", "id" : "ITEM-1", "issue" : "Web Server issue", "issued" : { "date-parts" : [ [ "2011", "7" ] ] }, "page" : "W412-5", "title" : "iPath2.0: interactive pathway explorer.", "type" : "article-journal", "volume" : "39" }, "uris" : [ "http://www.mendeley.com/documents/?uuid=852998b4-b42b-46f0-b845-c69cd559fd99" ] }, { "id" : "ITEM-2", "itemData" : { "DOI" : "10.1016/j.tibs.2008.01.001", "ISSN" : "0968-0004", "PMID" : "18276143", "abstract" : "iPath is an open-access online tool (http://pathways.embl.de) for visualizing and analyzing metabolic pathways. An interactive viewer provides straightforward navigation through various pathways and enables easy access to the underlying chemicals and enzymes. Customized pathway maps can be generated and annotated using various external data. For example, by merging human genome data with two important gut commensals, iPath can pinpoint the complementarity of the host-symbiont metabolic capacities.", "author" : [ { "dropping-particle" : "", "family" : "Letunic", "given" : "Ivica", "non-dropping-particle" : "", "parse-names" : false, "suffix" : "" }, { "dropping-particle" : "", "family" : "Yamada", "given" : "Takuji", "non-dropping-particle" : "", "parse-names" : false, "suffix" : "" }, { "dropping-particle" : "", "family" : "Kanehisa", "given" : "Minoru", "non-dropping-particle" : "", "parse-names" : false, "suffix" : "" }, { "dropping-particle" : "", "family" : "Bork", "given" : "Peer", "non-dropping-particle" : "", "parse-names" : false, "suffix" : "" } ], "container-title" : "Trends in biochemical sciences", "id" : "ITEM-2", "issue" : "3", "issued" : { "date-parts" : [ [ "2008", "3" ] ] }, "page" : "101-3", "title" : "iPath: interactive exploration of biochemical pathways and networks.", "type" : "article-journal", "volume" : "33" }, "uris" : [ "http://www.mendeley.com/documents/?uuid=11ce0598-61f3-4464-a392-9ec918979f18" ] } ], "mendeley" : { "manualFormatting" : "(Letunic et al., 2008; Yamada et al., 2011)", "previouslyFormattedCitation" : "(Letunic, Yamada, Kanehisa, &amp; Bork, 2008; Yamada, Letunic, Okuda, Kanehisa, &amp; Bork, 2011)"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(Letunic et al., 2008; Yamada et al., 2011)</w:t>
      </w:r>
      <w:r w:rsidRPr="007C548F">
        <w:rPr>
          <w:rFonts w:ascii="Times" w:hAnsi="Times"/>
          <w:sz w:val="24"/>
        </w:rPr>
        <w:fldChar w:fldCharType="end"/>
      </w:r>
      <w:r w:rsidRPr="007C548F">
        <w:rPr>
          <w:rFonts w:ascii="Times" w:hAnsi="Times"/>
          <w:sz w:val="24"/>
        </w:rPr>
        <w:t xml:space="preserve"> for each treatment comparison.  Enrichment analysis was performed on differentially expressed proteins using the Database for Annotation, Visualization, and Integrated Discovery (DAVID) v. 6.7 (</w:t>
      </w:r>
      <w:r w:rsidRPr="007C548F">
        <w:rPr>
          <w:rFonts w:ascii="Times" w:hAnsi="Times"/>
          <w:sz w:val="24"/>
        </w:rPr>
        <w:fldChar w:fldCharType="begin" w:fldLock="1"/>
      </w:r>
      <w:r w:rsidRPr="007C548F">
        <w:rPr>
          <w:rFonts w:ascii="Times" w:hAnsi="Times"/>
          <w:sz w:val="24"/>
        </w:rPr>
        <w:instrText>ADDIN CSL_CITATION { "citationItems" : [ { "id" : "ITEM-1", "itemData" : { "DOI" : "10.1038/nprot.2008.211", "ISSN" : "1750-2799", "PMID" : "19131956", "abstract" : "DAVID bioinformatics resources consists of an integrated biological knowledgebase and analytic tools aimed at systematically extracting biological meaning from large gene/protein lists. This protocol explains how to use DAVID, a high-throughput and integrated data-mining environment, to analyze gene lists derived from high-throughput genomic experiments. The procedure first requires uploading a gene list containing any number of common gene identifiers followed by analysis using one or more text and pathway-mining tools such as gene functional classification, functional annotation chart or clustering and functional annotation table. By following this protocol, investigators are able to gain an in-depth understanding of the biological themes in lists of genes that are enriched in genome-scale studies.",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"Nature protocols", "id" : "ITEM-1", "issue" : "1", "issued" : { "date-parts" : [ [ "2009", "1" ] ] }, "page" : "44-57", "title" : "Systematic and integrative analysis of large gene lists using DAVID bioinformatics resources.", "type" : "article-journal", "volume" : "4" }, "uris" : [ "http://www.mendeley.com/documents/?uuid=2c5212bd-2e8b-4032-95b7-4c52fba459bb" ] }, { "id" : "ITEM-2", "itemData" : { "DOI" : "10.1093/nar/gkn923", "ISSN" : "1362-4962", "PMID" : "19033363", "abstract" : "Functional analysis of large gene lists, derived in most cases from emerging high-throughput genomic, proteomic and bioinformatics scanning approaches, is still a challenging and daunting task. The gene-annotation enrichment analysis is a promising high-throughput strategy that increases the likelihood for investigators to identify biological processes most pertinent to their study. Approximately 68 bioinformatics enrichment tools that are currently available in the community are collected in this survey. Tools are uniquely categorized into three major classes, according to their underlying enrichment algorithms. The comprehensive collections, unique tool classifications and associated questions/issues will provide a more comprehensive and up-to-date view regarding the advantages, pitfalls and recent trends in a simpler tool-class level rather than by a tool-by-tool approach. Thus, the survey will help tool designers/developers and experienced end users understand the underlying algorithms and pertinent details of particular tool categories/tools, enabling them to make the best choices for their particular research interests.",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"Nucleic acids research", "id" : "ITEM-2", "issue" : "1", "issued" : { "date-parts" : [ [ "2009", "1" ] ] }, "page" : "1-13", "title" : "Bioinformatics enrichment tools: paths toward the comprehensive functional analysis of large gene lists.", "type" : "article-journal", "volume" : "37" }, "uris" : [ "http://www.mendeley.com/documents/?uuid=e8bf1c6f-e0f0-4576-ac7f-e9c9998b6fe8" ] } ], "mendeley" : { "manualFormatting" : "Huang et al., 2009a, 2009b)", "previouslyFormattedCitation" : "(Huang, Sherman, &amp; Lempicki, 2009a, 2009b)" }, "properties" : { "noteIndex" : 0 }, "schema" : "https://github.com/citation-style-language/schema/raw/master/csl-citation.json" }</w:instrText>
      </w:r>
      <w:r w:rsidRPr="007C548F">
        <w:rPr>
          <w:rFonts w:ascii="Times" w:hAnsi="Times"/>
          <w:sz w:val="24"/>
        </w:rPr>
        <w:fldChar w:fldCharType="separate"/>
      </w:r>
      <w:r w:rsidRPr="007C548F">
        <w:rPr>
          <w:rFonts w:ascii="Times" w:hAnsi="Times"/>
          <w:noProof/>
          <w:sz w:val="24"/>
        </w:rPr>
        <w:t>Huang et al., 2009a, 2009b)</w:t>
      </w:r>
      <w:r w:rsidRPr="007C548F">
        <w:rPr>
          <w:rFonts w:ascii="Times" w:hAnsi="Times"/>
          <w:sz w:val="24"/>
        </w:rPr>
        <w:fldChar w:fldCharType="end"/>
      </w:r>
      <w:r w:rsidRPr="007C548F">
        <w:rPr>
          <w:rFonts w:ascii="Times" w:hAnsi="Times"/>
          <w:sz w:val="24"/>
        </w:rPr>
        <w:t xml:space="preserve"> (</w:t>
      </w:r>
      <w:hyperlink r:id="rId27">
        <w:r w:rsidRPr="007C548F">
          <w:rPr>
            <w:rFonts w:ascii="Times" w:hAnsi="Times"/>
            <w:color w:val="1155CC"/>
            <w:sz w:val="24"/>
            <w:u w:val="single"/>
          </w:rPr>
          <w:t>http://david.abcc.ncifcrf.gov/</w:t>
        </w:r>
      </w:hyperlink>
      <w:r w:rsidRPr="007C548F">
        <w:rPr>
          <w:rFonts w:ascii="Times" w:hAnsi="Times"/>
          <w:color w:val="1155CC"/>
          <w:sz w:val="24"/>
          <w:u w:val="single"/>
        </w:rPr>
        <w:t>)</w:t>
      </w:r>
      <w:r w:rsidRPr="007C548F">
        <w:rPr>
          <w:rFonts w:ascii="Times" w:hAnsi="Times"/>
          <w:sz w:val="24"/>
        </w:rPr>
        <w:t>.  The background protein list was made from the entire sequenced gill proteome.  Biological processes were considered significantly enriched if p-value &lt; 0.075.  Overlaps in the responses to different stressors were explored using a Venn diagram of the proteins that were differentially expressed between treatments in eulerAPE v. 1.0 (http://www.eulerdiagrams.org/eulerAPE/).</w:t>
      </w:r>
    </w:p>
    <w:p w14:paraId="12F5D498" w14:textId="77777777" w:rsidR="00732DA8" w:rsidRPr="00732DA8" w:rsidRDefault="00732DA8" w:rsidP="00732DA8"/>
    <w:p w14:paraId="6F14F1A4" w14:textId="77777777" w:rsidR="00C02D9B" w:rsidRDefault="00C02D9B" w:rsidP="00C02D9B">
      <w:pPr>
        <w:pStyle w:val="Heading2"/>
      </w:pPr>
      <w:bookmarkStart w:id="58" w:name="_Toc252110018"/>
      <w:r>
        <w:t>Results</w:t>
      </w:r>
      <w:bookmarkEnd w:id="58"/>
    </w:p>
    <w:p w14:paraId="0FD3A5F4" w14:textId="16FAFB54" w:rsidR="00EF2726" w:rsidRDefault="00EF2726" w:rsidP="00EF2726">
      <w:pPr>
        <w:pStyle w:val="Heading3"/>
      </w:pPr>
      <w:bookmarkStart w:id="59" w:name="_Toc252110019"/>
      <w:r>
        <w:t>Seawater chemistry analysis</w:t>
      </w:r>
      <w:bookmarkEnd w:id="59"/>
    </w:p>
    <w:p w14:paraId="2003ED18" w14:textId="77777777" w:rsidR="00C85C10" w:rsidRPr="00C85C10" w:rsidRDefault="00C85C10" w:rsidP="00C85C10"/>
    <w:p w14:paraId="0B02AFF7" w14:textId="4EEC9C5D" w:rsidR="002A3DE3" w:rsidRPr="007C548F" w:rsidRDefault="007C548F" w:rsidP="007C548F">
      <w:pPr>
        <w:pStyle w:val="normal0"/>
        <w:spacing w:line="360" w:lineRule="auto"/>
        <w:ind w:firstLine="720"/>
        <w:rPr>
          <w:rFonts w:ascii="Times" w:hAnsi="Times"/>
          <w:sz w:val="24"/>
        </w:rPr>
      </w:pPr>
      <w:r w:rsidRPr="007C548F">
        <w:rPr>
          <w:rFonts w:ascii="Times" w:hAnsi="Times"/>
          <w:sz w:val="24"/>
        </w:rPr>
        <w:t xml:space="preserve">The </w:t>
      </w:r>
      <w:r w:rsidRPr="007C548F">
        <w:rPr>
          <w:rFonts w:ascii="Times" w:hAnsi="Times"/>
          <w:i/>
          <w:sz w:val="24"/>
        </w:rPr>
        <w:t>p</w:t>
      </w:r>
      <w:r w:rsidRPr="007C548F">
        <w:rPr>
          <w:rFonts w:ascii="Times" w:hAnsi="Times"/>
          <w:sz w:val="24"/>
        </w:rPr>
        <w:t>CO</w:t>
      </w:r>
      <w:r w:rsidRPr="007C548F">
        <w:rPr>
          <w:rFonts w:ascii="Times" w:hAnsi="Times"/>
          <w:sz w:val="24"/>
          <w:vertAlign w:val="subscript"/>
        </w:rPr>
        <w:t xml:space="preserve">2 </w:t>
      </w:r>
      <w:r w:rsidRPr="007C548F">
        <w:rPr>
          <w:rFonts w:ascii="Times" w:hAnsi="Times"/>
          <w:sz w:val="24"/>
        </w:rPr>
        <w:t xml:space="preserve">levels for the four different treatments remained consistent throughout the </w:t>
      </w:r>
      <w:proofErr w:type="gramStart"/>
      <w:r w:rsidRPr="007C548F">
        <w:rPr>
          <w:rFonts w:ascii="Times" w:hAnsi="Times"/>
          <w:sz w:val="24"/>
        </w:rPr>
        <w:t>one month</w:t>
      </w:r>
      <w:proofErr w:type="gramEnd"/>
      <w:r w:rsidRPr="007C548F">
        <w:rPr>
          <w:rFonts w:ascii="Times" w:hAnsi="Times"/>
          <w:sz w:val="24"/>
        </w:rPr>
        <w:t xml:space="preserve"> experiment (Table </w:t>
      </w:r>
      <w:r w:rsidR="00AC2902">
        <w:rPr>
          <w:rFonts w:ascii="Times" w:hAnsi="Times"/>
          <w:sz w:val="24"/>
        </w:rPr>
        <w:t>III.</w:t>
      </w:r>
      <w:r w:rsidRPr="007C548F">
        <w:rPr>
          <w:rFonts w:ascii="Times" w:hAnsi="Times"/>
          <w:sz w:val="24"/>
        </w:rPr>
        <w:t xml:space="preserve">1). Average pH (± s.d.) for treatments as measured by the DuraFET probe </w:t>
      </w:r>
      <w:proofErr w:type="gramStart"/>
      <w:r w:rsidRPr="007C548F">
        <w:rPr>
          <w:rFonts w:ascii="Times" w:hAnsi="Times"/>
          <w:sz w:val="24"/>
        </w:rPr>
        <w:t>were</w:t>
      </w:r>
      <w:proofErr w:type="gramEnd"/>
      <w:r w:rsidRPr="007C548F">
        <w:rPr>
          <w:rFonts w:ascii="Times" w:hAnsi="Times"/>
          <w:sz w:val="24"/>
        </w:rPr>
        <w:t xml:space="preserve"> 8.02 ± 0.02, 7.73 ± 0.04, 7.63 ± 0.10, and 7.29 ± 0.10 for the 400, 800, 1000, and 2800 µatm treatments, respectively.  Spectrophotometric pH corroborated the DuraFET measurements (spectrophotometric pH data not shown).  The </w:t>
      </w:r>
      <w:r w:rsidRPr="007C548F">
        <w:rPr>
          <w:rFonts w:ascii="Times" w:hAnsi="Times"/>
          <w:i/>
          <w:sz w:val="24"/>
        </w:rPr>
        <w:t>p</w:t>
      </w:r>
      <w:r w:rsidRPr="007C548F">
        <w:rPr>
          <w:rFonts w:ascii="Times" w:hAnsi="Times"/>
          <w:sz w:val="24"/>
        </w:rPr>
        <w:t>CO</w:t>
      </w:r>
      <w:r w:rsidRPr="007C548F">
        <w:rPr>
          <w:rFonts w:ascii="Times" w:hAnsi="Times"/>
          <w:sz w:val="24"/>
          <w:vertAlign w:val="subscript"/>
        </w:rPr>
        <w:t xml:space="preserve">2 </w:t>
      </w:r>
      <w:r w:rsidRPr="007C548F">
        <w:rPr>
          <w:rFonts w:ascii="Times" w:hAnsi="Times"/>
          <w:sz w:val="24"/>
        </w:rPr>
        <w:t xml:space="preserve">in containers with oysters was approximately 40 µatm higher than the source water </w:t>
      </w:r>
      <w:proofErr w:type="gramStart"/>
      <w:r w:rsidRPr="007C548F">
        <w:rPr>
          <w:rFonts w:ascii="Times" w:hAnsi="Times"/>
          <w:i/>
          <w:sz w:val="24"/>
        </w:rPr>
        <w:t>p</w:t>
      </w:r>
      <w:r w:rsidRPr="007C548F">
        <w:rPr>
          <w:rFonts w:ascii="Times" w:hAnsi="Times"/>
          <w:sz w:val="24"/>
        </w:rPr>
        <w:t>CO</w:t>
      </w:r>
      <w:r w:rsidRPr="007C548F">
        <w:rPr>
          <w:rFonts w:ascii="Times" w:hAnsi="Times"/>
          <w:sz w:val="24"/>
          <w:vertAlign w:val="subscript"/>
        </w:rPr>
        <w:t xml:space="preserve">2 </w:t>
      </w:r>
      <w:r w:rsidRPr="007C548F">
        <w:rPr>
          <w:rFonts w:ascii="Times" w:hAnsi="Times"/>
          <w:sz w:val="24"/>
        </w:rPr>
        <w:t>,</w:t>
      </w:r>
      <w:proofErr w:type="gramEnd"/>
      <w:r w:rsidRPr="007C548F">
        <w:rPr>
          <w:rFonts w:ascii="Times" w:hAnsi="Times"/>
          <w:sz w:val="24"/>
        </w:rPr>
        <w:t xml:space="preserve"> except for the 2800 µatm treatment where it was approximately 75 µatm lower than the source water.  Total alkalinity was 9% higher in the chambers (data not shown) compared to the source water for 400 µatm, 10% higher at 800 µatm, 13% higher at 1000 µatm, and 3% lower at 2800 µatm.  Calcite was undersaturated (Ω</w:t>
      </w:r>
      <w:r w:rsidRPr="007C548F">
        <w:rPr>
          <w:rFonts w:ascii="Times" w:hAnsi="Times"/>
          <w:sz w:val="24"/>
          <w:vertAlign w:val="subscript"/>
        </w:rPr>
        <w:t>c</w:t>
      </w:r>
      <w:r w:rsidRPr="007C548F">
        <w:rPr>
          <w:rFonts w:ascii="Times" w:hAnsi="Times"/>
          <w:sz w:val="24"/>
        </w:rPr>
        <w:t xml:space="preserve"> &lt; 1.0) only at the highest </w:t>
      </w:r>
      <w:r w:rsidRPr="007C548F">
        <w:rPr>
          <w:rFonts w:ascii="Times" w:hAnsi="Times"/>
          <w:i/>
          <w:sz w:val="24"/>
        </w:rPr>
        <w:t>p</w:t>
      </w:r>
      <w:r w:rsidRPr="007C548F">
        <w:rPr>
          <w:rFonts w:ascii="Times" w:hAnsi="Times"/>
          <w:sz w:val="24"/>
        </w:rPr>
        <w:t>CO</w:t>
      </w:r>
      <w:r w:rsidRPr="007C548F">
        <w:rPr>
          <w:rFonts w:ascii="Times" w:hAnsi="Times"/>
          <w:sz w:val="24"/>
          <w:vertAlign w:val="subscript"/>
        </w:rPr>
        <w:t xml:space="preserve">2 </w:t>
      </w:r>
      <w:r w:rsidRPr="007C548F">
        <w:rPr>
          <w:rFonts w:ascii="Times" w:hAnsi="Times"/>
          <w:sz w:val="24"/>
        </w:rPr>
        <w:t xml:space="preserve">level and aragonite was undersaturated at the two highest </w:t>
      </w:r>
      <w:r w:rsidRPr="007C548F">
        <w:rPr>
          <w:rFonts w:ascii="Times" w:hAnsi="Times"/>
          <w:i/>
          <w:sz w:val="24"/>
        </w:rPr>
        <w:t>p</w:t>
      </w:r>
      <w:r w:rsidRPr="007C548F">
        <w:rPr>
          <w:rFonts w:ascii="Times" w:hAnsi="Times"/>
          <w:sz w:val="24"/>
        </w:rPr>
        <w:t>CO</w:t>
      </w:r>
      <w:r w:rsidRPr="007C548F">
        <w:rPr>
          <w:rFonts w:ascii="Times" w:hAnsi="Times"/>
          <w:sz w:val="24"/>
          <w:vertAlign w:val="subscript"/>
        </w:rPr>
        <w:t xml:space="preserve">2 </w:t>
      </w:r>
      <w:r w:rsidRPr="007C548F">
        <w:rPr>
          <w:rFonts w:ascii="Times" w:hAnsi="Times"/>
          <w:sz w:val="24"/>
        </w:rPr>
        <w:t>levels (1000 µatm and 2800 µatm).</w:t>
      </w:r>
    </w:p>
    <w:p w14:paraId="38F68EC4" w14:textId="77777777" w:rsidR="007C548F" w:rsidRDefault="007C548F" w:rsidP="002A3DE3">
      <w:pPr>
        <w:pStyle w:val="normal0"/>
        <w:spacing w:line="240" w:lineRule="auto"/>
        <w:rPr>
          <w:rFonts w:ascii="Times" w:hAnsi="Times"/>
          <w:sz w:val="24"/>
        </w:rPr>
      </w:pPr>
    </w:p>
    <w:p w14:paraId="01255E84" w14:textId="7D243E7F" w:rsidR="002A3DE3" w:rsidRPr="00EF2726" w:rsidRDefault="002A3DE3" w:rsidP="002A3DE3">
      <w:pPr>
        <w:pStyle w:val="normal0"/>
        <w:spacing w:line="240" w:lineRule="auto"/>
        <w:rPr>
          <w:rFonts w:ascii="Times" w:hAnsi="Times"/>
          <w:sz w:val="24"/>
        </w:rPr>
      </w:pPr>
      <w:r>
        <w:rPr>
          <w:rFonts w:ascii="Times" w:hAnsi="Times"/>
          <w:sz w:val="24"/>
        </w:rPr>
        <w:t xml:space="preserve">Table </w:t>
      </w:r>
      <w:r w:rsidR="00426D9F">
        <w:rPr>
          <w:rFonts w:ascii="Times" w:hAnsi="Times"/>
          <w:sz w:val="24"/>
        </w:rPr>
        <w:t>III.</w:t>
      </w:r>
      <w:r>
        <w:rPr>
          <w:rFonts w:ascii="Times" w:hAnsi="Times"/>
          <w:sz w:val="24"/>
        </w:rPr>
        <w:t xml:space="preserve">1.  </w:t>
      </w:r>
      <w:proofErr w:type="gramStart"/>
      <w:r w:rsidR="00426D9F" w:rsidRPr="00426D9F">
        <w:rPr>
          <w:rFonts w:ascii="Times" w:hAnsi="Times"/>
          <w:sz w:val="24"/>
        </w:rPr>
        <w:t>Water chemistry summary data.</w:t>
      </w:r>
      <w:proofErr w:type="gramEnd"/>
      <w:r w:rsidR="00426D9F" w:rsidRPr="00426D9F">
        <w:rPr>
          <w:rFonts w:ascii="Times" w:hAnsi="Times"/>
          <w:sz w:val="24"/>
        </w:rPr>
        <w:t xml:space="preserve"> Mean and ± standard deviation are provided for the </w:t>
      </w:r>
      <w:proofErr w:type="gramStart"/>
      <w:r w:rsidR="00426D9F" w:rsidRPr="00426D9F">
        <w:rPr>
          <w:rFonts w:ascii="Times" w:hAnsi="Times"/>
          <w:sz w:val="24"/>
        </w:rPr>
        <w:t>29 day</w:t>
      </w:r>
      <w:proofErr w:type="gramEnd"/>
      <w:r w:rsidR="00426D9F" w:rsidRPr="00426D9F">
        <w:rPr>
          <w:rFonts w:ascii="Times" w:hAnsi="Times"/>
          <w:sz w:val="24"/>
        </w:rPr>
        <w:t xml:space="preserve"> experiment.  Salinity is an average of nineteen measurements and A</w:t>
      </w:r>
      <w:r w:rsidR="00426D9F" w:rsidRPr="00426D9F">
        <w:rPr>
          <w:rFonts w:ascii="Times" w:hAnsi="Times"/>
          <w:sz w:val="24"/>
          <w:vertAlign w:val="subscript"/>
        </w:rPr>
        <w:t>T</w:t>
      </w:r>
      <w:r w:rsidR="00426D9F" w:rsidRPr="00426D9F">
        <w:rPr>
          <w:rFonts w:ascii="Times" w:hAnsi="Times"/>
          <w:sz w:val="24"/>
        </w:rPr>
        <w:t xml:space="preserve"> was measured four times.  </w:t>
      </w:r>
      <w:proofErr w:type="gramStart"/>
      <w:r w:rsidR="00426D9F" w:rsidRPr="00426D9F">
        <w:rPr>
          <w:rFonts w:ascii="Times" w:hAnsi="Times"/>
          <w:sz w:val="24"/>
        </w:rPr>
        <w:t>pH</w:t>
      </w:r>
      <w:proofErr w:type="gramEnd"/>
      <w:r w:rsidR="00426D9F" w:rsidRPr="00426D9F">
        <w:rPr>
          <w:rFonts w:ascii="Times" w:hAnsi="Times"/>
          <w:sz w:val="24"/>
        </w:rPr>
        <w:t xml:space="preserve"> and temperature values are from the continuous monitoring by the DuraFET probe.  </w:t>
      </w:r>
      <w:proofErr w:type="gramStart"/>
      <w:r w:rsidR="00426D9F" w:rsidRPr="00426D9F">
        <w:rPr>
          <w:rFonts w:ascii="Times" w:hAnsi="Times"/>
          <w:sz w:val="24"/>
        </w:rPr>
        <w:t>pH</w:t>
      </w:r>
      <w:proofErr w:type="gramEnd"/>
      <w:r w:rsidR="00426D9F" w:rsidRPr="00426D9F">
        <w:rPr>
          <w:rFonts w:ascii="Times" w:hAnsi="Times"/>
          <w:sz w:val="24"/>
        </w:rPr>
        <w:t>, temperature, salinity, and A</w:t>
      </w:r>
      <w:r w:rsidR="00426D9F" w:rsidRPr="00426D9F">
        <w:rPr>
          <w:rFonts w:ascii="Times" w:hAnsi="Times"/>
          <w:sz w:val="24"/>
          <w:vertAlign w:val="subscript"/>
        </w:rPr>
        <w:t>T</w:t>
      </w:r>
      <w:r w:rsidR="00426D9F" w:rsidRPr="00426D9F">
        <w:rPr>
          <w:rFonts w:ascii="Times" w:hAnsi="Times"/>
          <w:sz w:val="24"/>
        </w:rPr>
        <w:t xml:space="preserve"> were directly measured and all other parameters were calculated using CO</w:t>
      </w:r>
      <w:r w:rsidR="00426D9F" w:rsidRPr="00426D9F">
        <w:rPr>
          <w:rFonts w:ascii="Times" w:hAnsi="Times"/>
          <w:sz w:val="24"/>
          <w:vertAlign w:val="subscript"/>
        </w:rPr>
        <w:t>2</w:t>
      </w:r>
      <w:r w:rsidR="00426D9F" w:rsidRPr="00426D9F">
        <w:rPr>
          <w:rFonts w:ascii="Times" w:hAnsi="Times"/>
          <w:sz w:val="24"/>
        </w:rPr>
        <w:t>calc (Robbins et al., 2010).</w:t>
      </w:r>
    </w:p>
    <w:p w14:paraId="0A73D9E9" w14:textId="05059FF9" w:rsidR="00EF2726" w:rsidRPr="00EF2726" w:rsidRDefault="002A3DE3" w:rsidP="00EF2726">
      <w:r>
        <w:rPr>
          <w:noProof/>
          <w:lang w:eastAsia="en-US"/>
        </w:rPr>
        <w:drawing>
          <wp:inline distT="0" distB="0" distL="0" distR="0" wp14:anchorId="43D6C522" wp14:editId="509F5167">
            <wp:extent cx="5486400" cy="9861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986155"/>
                    </a:xfrm>
                    <a:prstGeom prst="rect">
                      <a:avLst/>
                    </a:prstGeom>
                  </pic:spPr>
                </pic:pic>
              </a:graphicData>
            </a:graphic>
          </wp:inline>
        </w:drawing>
      </w:r>
    </w:p>
    <w:p w14:paraId="35888CA0" w14:textId="36E171A8" w:rsidR="00EF2726" w:rsidRDefault="00EF2726" w:rsidP="00EF2726">
      <w:pPr>
        <w:pStyle w:val="Heading3"/>
      </w:pPr>
      <w:bookmarkStart w:id="60" w:name="_Toc252110020"/>
      <w:r>
        <w:t>Oyster growth</w:t>
      </w:r>
      <w:bookmarkEnd w:id="60"/>
    </w:p>
    <w:p w14:paraId="51AB71C8" w14:textId="77777777" w:rsidR="00C85C10" w:rsidRPr="00C85C10" w:rsidRDefault="00C85C10" w:rsidP="00C85C10"/>
    <w:p w14:paraId="68E902E3" w14:textId="66377061" w:rsidR="00EF2726" w:rsidRDefault="007C548F" w:rsidP="00426D9F">
      <w:pPr>
        <w:spacing w:line="360" w:lineRule="auto"/>
        <w:ind w:firstLine="720"/>
        <w:rPr>
          <w:rFonts w:ascii="Times" w:hAnsi="Times"/>
        </w:rPr>
      </w:pPr>
      <w:r w:rsidRPr="00183126">
        <w:rPr>
          <w:rFonts w:ascii="Times" w:hAnsi="Times"/>
          <w:szCs w:val="22"/>
        </w:rPr>
        <w:t>Relative growth rate (RGR) for shell mass</w:t>
      </w:r>
      <w:r>
        <w:rPr>
          <w:rFonts w:ascii="Times" w:hAnsi="Times"/>
          <w:szCs w:val="22"/>
        </w:rPr>
        <w:t xml:space="preserve"> of oysters</w:t>
      </w:r>
      <w:r w:rsidRPr="00183126">
        <w:rPr>
          <w:rFonts w:ascii="Times" w:hAnsi="Times"/>
          <w:szCs w:val="22"/>
        </w:rPr>
        <w:t xml:space="preserve"> exposed to increased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2</w:t>
      </w:r>
      <w:r w:rsidRPr="00183126">
        <w:rPr>
          <w:rFonts w:ascii="Times" w:hAnsi="Times"/>
          <w:szCs w:val="22"/>
        </w:rPr>
        <w:t xml:space="preserve">, as measured by buoyant weight, was not significantly different among treatments (p &gt; 0.05) (Table </w:t>
      </w:r>
      <w:r w:rsidR="00AC2902">
        <w:rPr>
          <w:rFonts w:ascii="Times" w:hAnsi="Times"/>
          <w:szCs w:val="22"/>
        </w:rPr>
        <w:t>III.</w:t>
      </w:r>
      <w:r w:rsidRPr="00183126">
        <w:rPr>
          <w:rFonts w:ascii="Times" w:hAnsi="Times"/>
          <w:szCs w:val="22"/>
        </w:rPr>
        <w:t xml:space="preserve">2).  Shell mass changed with time across all treatments (F = 6.1190, p = 0.014), indicating shell growth.  </w:t>
      </w:r>
      <w:r w:rsidR="00426D9F" w:rsidRPr="00B14C1B">
        <w:rPr>
          <w:rFonts w:ascii="Times" w:hAnsi="Times"/>
          <w:szCs w:val="22"/>
        </w:rPr>
        <w:t xml:space="preserve">  </w:t>
      </w:r>
    </w:p>
    <w:p w14:paraId="7AD24C8B" w14:textId="77777777" w:rsidR="002A3DE3" w:rsidRDefault="002A3DE3" w:rsidP="002A3DE3"/>
    <w:p w14:paraId="23F484CB" w14:textId="1F9973A9"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2. </w:t>
      </w:r>
      <w:r w:rsidR="00426D9F">
        <w:rPr>
          <w:rFonts w:ascii="Times" w:hAnsi="Times"/>
          <w:szCs w:val="22"/>
        </w:rPr>
        <w:t>Average buoyant weight ±</w:t>
      </w:r>
      <w:r w:rsidR="00426D9F" w:rsidRPr="00B14C1B">
        <w:rPr>
          <w:rFonts w:ascii="Times" w:hAnsi="Times"/>
          <w:szCs w:val="22"/>
        </w:rPr>
        <w:t xml:space="preserve"> 95% confidence intervals at start and end of experiment.</w:t>
      </w:r>
    </w:p>
    <w:p w14:paraId="1E1F53FE" w14:textId="3A9C4BB7" w:rsidR="002A3DE3" w:rsidRPr="00EF2726" w:rsidRDefault="002A3DE3" w:rsidP="002A3DE3">
      <w:r>
        <w:rPr>
          <w:noProof/>
          <w:lang w:eastAsia="en-US"/>
        </w:rPr>
        <w:drawing>
          <wp:inline distT="0" distB="0" distL="0" distR="0" wp14:anchorId="19117609" wp14:editId="2EBB4902">
            <wp:extent cx="2223135" cy="957813"/>
            <wp:effectExtent l="0" t="0" r="1206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29">
                      <a:extLst>
                        <a:ext uri="{28A0092B-C50C-407E-A947-70E740481C1C}">
                          <a14:useLocalDpi xmlns:a14="http://schemas.microsoft.com/office/drawing/2010/main" val="0"/>
                        </a:ext>
                      </a:extLst>
                    </a:blip>
                    <a:stretch>
                      <a:fillRect/>
                    </a:stretch>
                  </pic:blipFill>
                  <pic:spPr>
                    <a:xfrm>
                      <a:off x="0" y="0"/>
                      <a:ext cx="2223450" cy="957949"/>
                    </a:xfrm>
                    <a:prstGeom prst="rect">
                      <a:avLst/>
                    </a:prstGeom>
                  </pic:spPr>
                </pic:pic>
              </a:graphicData>
            </a:graphic>
          </wp:inline>
        </w:drawing>
      </w:r>
    </w:p>
    <w:p w14:paraId="52879810" w14:textId="74C9B2BD" w:rsidR="00EF2726" w:rsidRDefault="00EF2726" w:rsidP="00EF2726">
      <w:pPr>
        <w:pStyle w:val="Heading3"/>
      </w:pPr>
      <w:bookmarkStart w:id="61" w:name="_Toc252110021"/>
      <w:r>
        <w:t>Micromechanical properties</w:t>
      </w:r>
      <w:bookmarkEnd w:id="61"/>
    </w:p>
    <w:p w14:paraId="3938EB1C" w14:textId="77777777" w:rsidR="00C85C10" w:rsidRPr="00C85C10" w:rsidRDefault="00C85C10" w:rsidP="00C85C10"/>
    <w:p w14:paraId="59AE0316" w14:textId="44561327" w:rsidR="00EF2726" w:rsidRPr="007C548F" w:rsidRDefault="007C548F" w:rsidP="00426D9F">
      <w:pPr>
        <w:pStyle w:val="normal0"/>
        <w:spacing w:line="360" w:lineRule="auto"/>
        <w:ind w:firstLine="720"/>
        <w:rPr>
          <w:rFonts w:ascii="Times" w:hAnsi="Times"/>
          <w:sz w:val="24"/>
        </w:rPr>
      </w:pPr>
      <w:r w:rsidRPr="007C548F">
        <w:rPr>
          <w:rFonts w:ascii="Times" w:hAnsi="Times"/>
          <w:sz w:val="24"/>
        </w:rPr>
        <w:t xml:space="preserve">Micromechanical properties were tested within the outer 3 mm of the growing edge (posterior) of left shell valves for oysters in the treatments of 400, 1000, and 2800 µatm. Both Vickers microhardness and fracture toughness differed significantly among </w:t>
      </w:r>
      <w:r w:rsidRPr="007C548F">
        <w:rPr>
          <w:rFonts w:ascii="Times" w:hAnsi="Times"/>
          <w:i/>
          <w:sz w:val="24"/>
        </w:rPr>
        <w:t>p</w:t>
      </w:r>
      <w:r w:rsidRPr="007C548F">
        <w:rPr>
          <w:rFonts w:ascii="Times" w:hAnsi="Times"/>
          <w:sz w:val="24"/>
        </w:rPr>
        <w:t>CO</w:t>
      </w:r>
      <w:r w:rsidRPr="007C548F">
        <w:rPr>
          <w:rFonts w:ascii="Times" w:hAnsi="Times"/>
          <w:sz w:val="24"/>
          <w:vertAlign w:val="subscript"/>
        </w:rPr>
        <w:t>2</w:t>
      </w:r>
      <w:r w:rsidRPr="007C548F">
        <w:rPr>
          <w:rFonts w:ascii="Times" w:hAnsi="Times"/>
          <w:sz w:val="24"/>
        </w:rPr>
        <w:t xml:space="preserve"> treatments (microhardness: Welch ANOVA, p = 0.014; fracture toughness: one-way ANOVA, p = 0.003) (Figure </w:t>
      </w:r>
      <w:r w:rsidR="00AC2902">
        <w:rPr>
          <w:rFonts w:ascii="Times" w:hAnsi="Times"/>
          <w:sz w:val="24"/>
        </w:rPr>
        <w:t>III.</w:t>
      </w:r>
      <w:r w:rsidRPr="007C548F">
        <w:rPr>
          <w:rFonts w:ascii="Times" w:hAnsi="Times"/>
          <w:sz w:val="24"/>
        </w:rPr>
        <w:t xml:space="preserve">1). The microhardness of shells grown at 1000 µatm was significantly lower than that of shells grown at 400 µatm (Games-Howell: p &lt; 0.05). Shells grown at 2800 µatm showed a trend toward lower microhardness as compared to the </w:t>
      </w:r>
      <w:proofErr w:type="gramStart"/>
      <w:r w:rsidRPr="007C548F">
        <w:rPr>
          <w:rFonts w:ascii="Times" w:hAnsi="Times"/>
          <w:sz w:val="24"/>
        </w:rPr>
        <w:t>400 µ</w:t>
      </w:r>
      <w:proofErr w:type="gramEnd"/>
      <w:r w:rsidRPr="007C548F">
        <w:rPr>
          <w:rFonts w:ascii="Times" w:hAnsi="Times"/>
          <w:sz w:val="24"/>
        </w:rPr>
        <w:t xml:space="preserve">atm control group, but this comparison was not statistically significant (Games-Howell: p = 0.119). In contrast, fracture toughness was significantly lower in shells grown at 2800 µatm as compared to both the 400 and 1000 µatm treatments, but the 400 and 1000 µatm treatments did not differ (Tukey HSD: p &lt; 0.05). Representative cracks formed by micromechanical testing are shown in Figure </w:t>
      </w:r>
      <w:r w:rsidR="00AC2902">
        <w:rPr>
          <w:rFonts w:ascii="Times" w:hAnsi="Times"/>
          <w:sz w:val="24"/>
        </w:rPr>
        <w:t>III.</w:t>
      </w:r>
      <w:r w:rsidRPr="007C548F">
        <w:rPr>
          <w:rFonts w:ascii="Times" w:hAnsi="Times"/>
          <w:sz w:val="24"/>
        </w:rPr>
        <w:t>S1.</w:t>
      </w:r>
      <w:r w:rsidR="00EF2726" w:rsidRPr="007C548F">
        <w:rPr>
          <w:rFonts w:ascii="Times" w:hAnsi="Times"/>
          <w:sz w:val="24"/>
        </w:rPr>
        <w:t xml:space="preserve"> </w:t>
      </w:r>
    </w:p>
    <w:p w14:paraId="61EC8DBE" w14:textId="5807AE3D" w:rsidR="002A3DE3" w:rsidRPr="00EF2726" w:rsidRDefault="002A3DE3" w:rsidP="002A3DE3">
      <w:pPr>
        <w:pStyle w:val="normal0"/>
        <w:spacing w:line="240" w:lineRule="auto"/>
        <w:rPr>
          <w:rFonts w:ascii="Times" w:hAnsi="Times"/>
          <w:sz w:val="24"/>
        </w:rPr>
      </w:pPr>
      <w:r>
        <w:rPr>
          <w:rFonts w:ascii="Times" w:hAnsi="Times"/>
          <w:noProof/>
          <w:sz w:val="24"/>
          <w:lang w:eastAsia="en-US"/>
        </w:rPr>
        <w:drawing>
          <wp:inline distT="0" distB="0" distL="0" distR="0" wp14:anchorId="39B42CBB" wp14:editId="3A6D27E8">
            <wp:extent cx="3330856" cy="4803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jpg"/>
                    <pic:cNvPicPr/>
                  </pic:nvPicPr>
                  <pic:blipFill>
                    <a:blip r:embed="rId30">
                      <a:extLst>
                        <a:ext uri="{28A0092B-C50C-407E-A947-70E740481C1C}">
                          <a14:useLocalDpi xmlns:a14="http://schemas.microsoft.com/office/drawing/2010/main" val="0"/>
                        </a:ext>
                      </a:extLst>
                    </a:blip>
                    <a:stretch>
                      <a:fillRect/>
                    </a:stretch>
                  </pic:blipFill>
                  <pic:spPr>
                    <a:xfrm>
                      <a:off x="0" y="0"/>
                      <a:ext cx="3330856" cy="4803140"/>
                    </a:xfrm>
                    <a:prstGeom prst="rect">
                      <a:avLst/>
                    </a:prstGeom>
                  </pic:spPr>
                </pic:pic>
              </a:graphicData>
            </a:graphic>
          </wp:inline>
        </w:drawing>
      </w:r>
    </w:p>
    <w:p w14:paraId="7523CA81" w14:textId="4F397A50" w:rsidR="00EF2726" w:rsidRPr="00EF2726" w:rsidRDefault="002A3DE3" w:rsidP="00EF2726">
      <w:r>
        <w:t xml:space="preserve">Figure </w:t>
      </w:r>
      <w:r w:rsidR="00426D9F">
        <w:t>III.</w:t>
      </w:r>
      <w:r>
        <w:t xml:space="preserve">1. </w:t>
      </w:r>
      <w:r w:rsidRPr="002A3DE3">
        <w:rPr>
          <w:rFonts w:ascii="Times" w:hAnsi="Times"/>
          <w:b/>
        </w:rPr>
        <w:t xml:space="preserve">Mean Vickers microhardness and fracture toughness of </w:t>
      </w:r>
      <w:r w:rsidRPr="002A3DE3">
        <w:rPr>
          <w:rFonts w:ascii="Times" w:hAnsi="Times"/>
          <w:b/>
          <w:i/>
        </w:rPr>
        <w:t>C. gigas</w:t>
      </w:r>
      <w:r w:rsidRPr="002A3DE3">
        <w:rPr>
          <w:rFonts w:ascii="Times" w:hAnsi="Times"/>
          <w:b/>
        </w:rPr>
        <w:t xml:space="preserve"> shells (± 95% C.I.), tested within the outer 3 mm of the shell’s growing edge.</w:t>
      </w:r>
      <w:r w:rsidRPr="002A3DE3">
        <w:rPr>
          <w:rFonts w:ascii="Times" w:hAnsi="Times"/>
        </w:rPr>
        <w:t xml:space="preserve"> Groups marked with different letters are significantly different (p &lt; 0.05; n = 5-7 shells per treatment).</w:t>
      </w:r>
    </w:p>
    <w:p w14:paraId="01D21DB1" w14:textId="78DAF9A4" w:rsidR="00EF2726" w:rsidRDefault="00EF2726" w:rsidP="00EF2726">
      <w:pPr>
        <w:pStyle w:val="Heading3"/>
      </w:pPr>
      <w:bookmarkStart w:id="62" w:name="_Toc252110022"/>
      <w:r>
        <w:t>Fatty acids</w:t>
      </w:r>
      <w:bookmarkEnd w:id="62"/>
    </w:p>
    <w:p w14:paraId="57A068C3" w14:textId="77777777" w:rsidR="00C85C10" w:rsidRPr="00C85C10" w:rsidRDefault="00C85C10" w:rsidP="00C85C10"/>
    <w:p w14:paraId="611203F9" w14:textId="17F6B25E" w:rsidR="00295E93" w:rsidRDefault="007C548F" w:rsidP="00363A7C">
      <w:pPr>
        <w:spacing w:line="360" w:lineRule="auto"/>
        <w:ind w:firstLine="720"/>
        <w:rPr>
          <w:rFonts w:ascii="Times" w:hAnsi="Times"/>
          <w:szCs w:val="22"/>
        </w:rPr>
      </w:pPr>
      <w:r w:rsidRPr="00183126">
        <w:rPr>
          <w:rFonts w:ascii="Times" w:hAnsi="Times"/>
          <w:szCs w:val="22"/>
        </w:rPr>
        <w:t xml:space="preserve">Fatty acid profiles did not differ among three treatments (400, 800, and 2800 µatm) (p &gt; 0.05; Figure </w:t>
      </w:r>
      <w:r w:rsidR="00AC2902">
        <w:rPr>
          <w:rFonts w:ascii="Times" w:hAnsi="Times"/>
          <w:szCs w:val="22"/>
        </w:rPr>
        <w:t>III.</w:t>
      </w:r>
      <w:r w:rsidRPr="00183126">
        <w:rPr>
          <w:rFonts w:ascii="Times" w:hAnsi="Times"/>
          <w:szCs w:val="22"/>
        </w:rPr>
        <w:t xml:space="preserve">2).  The nonmetric multidimensional scaling (NMDS) approach shows the relative position of each oyster according to its entire fatty acid profile (i.e. oysters that are plotted close together have similar fatty acid profiles).  Total fatty acid content (per milligram tissue) did not vary among treatments (p &gt; 0.05; data not shown).  Twenty-one fatty acid peaks were identified in the 24 samples, which is within the range of 16-35 fatty acids found in other studies of bivalves </w:t>
      </w:r>
      <w:r w:rsidRPr="00183126">
        <w:rPr>
          <w:rFonts w:ascii="Times" w:hAnsi="Times"/>
          <w:szCs w:val="22"/>
        </w:rPr>
        <w:fldChar w:fldCharType="begin" w:fldLock="1"/>
      </w:r>
      <w:r w:rsidRPr="00183126">
        <w:rPr>
          <w:rFonts w:ascii="Times" w:hAnsi="Times"/>
          <w:szCs w:val="22"/>
        </w:rPr>
        <w:instrText>ADDIN CSL_CITATION { "citationItems" : [ { "id" : "ITEM-1",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"ITEM-1",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"ITEM-2",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"ITEM-2",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"ITEM-4", "issued" : { "date-parts" : [ [ "2011" ] ] }, "page" : "295-301", "title" : "Lipid composition of Mytilus edulis reared on organic waste from a Gadus morhua aquaculture facility", "type" : "article-journal", "volume" : "301" }, "uris" : [ "http://www.mendeley.com/documents/?uuid=0f65e703-8f5e-4f8a-8bfc-bc4f40cd2919" ] } ], "mendeley" : { "manualFormatting" : "(Both et al., 2011; Milke et al., 2004; Pettersen et al., 2010; Soudant et al., 1999)", "previouslyFormattedCitation" : "(Both, Parrish, Penney, &amp; Thompson, 2011; Milke, Bricelj, &amp; Parrish, 2004; Pettersen, Turchini, Jahangard, Ingram, &amp; Sherman, 2010; Soudant et al., 1999)" }, "properties" : { "noteIndex" : 0 }, "schema" : "https://github.com/citation-style-language/schema/raw/master/csl-citation.json" }</w:instrText>
      </w:r>
      <w:r w:rsidRPr="00183126">
        <w:rPr>
          <w:rFonts w:ascii="Times" w:hAnsi="Times"/>
          <w:szCs w:val="22"/>
        </w:rPr>
        <w:fldChar w:fldCharType="separate"/>
      </w:r>
      <w:r w:rsidRPr="00183126">
        <w:rPr>
          <w:rFonts w:ascii="Times" w:hAnsi="Times"/>
          <w:noProof/>
          <w:szCs w:val="22"/>
        </w:rPr>
        <w:t>(Both et al., 2011; Milke et al., 2004; Pettersen et al., 2010; Soudant et al., 1999)</w:t>
      </w:r>
      <w:r w:rsidRPr="00183126">
        <w:rPr>
          <w:rFonts w:ascii="Times" w:hAnsi="Times"/>
          <w:szCs w:val="22"/>
        </w:rPr>
        <w:fldChar w:fldCharType="end"/>
      </w:r>
      <w:r w:rsidRPr="00183126">
        <w:rPr>
          <w:rFonts w:ascii="Times" w:hAnsi="Times"/>
          <w:szCs w:val="22"/>
        </w:rPr>
        <w:t xml:space="preserve">.  </w:t>
      </w:r>
      <w:r>
        <w:rPr>
          <w:rFonts w:ascii="Times" w:hAnsi="Times"/>
          <w:szCs w:val="22"/>
        </w:rPr>
        <w:t>Some of the more important fatty acids identified were</w:t>
      </w:r>
      <w:r w:rsidRPr="00183126">
        <w:rPr>
          <w:rFonts w:ascii="Times" w:hAnsi="Times"/>
          <w:szCs w:val="22"/>
        </w:rPr>
        <w:t xml:space="preserve"> 16:0; 18:0; 18:1n-9; 18:1n-7; 18:2n-6; α-linolenic acid (18:3n-3); arachidonic acid (20:4n-6); eicosapentaenoic acid (20:5n-3); two docosapentaenoic acids (22:5n-6 and 22:5n-3); and docosahexaenoic acid (22:6n-3).  Raw and normalized fatty acid data are available in Table </w:t>
      </w:r>
      <w:r w:rsidR="00AC2902">
        <w:rPr>
          <w:rFonts w:ascii="Times" w:hAnsi="Times"/>
          <w:szCs w:val="22"/>
        </w:rPr>
        <w:t>III.</w:t>
      </w:r>
      <w:r w:rsidRPr="00183126">
        <w:rPr>
          <w:rFonts w:ascii="Times" w:hAnsi="Times"/>
          <w:szCs w:val="22"/>
        </w:rPr>
        <w:t>S1.</w:t>
      </w:r>
    </w:p>
    <w:p w14:paraId="6D943DC9" w14:textId="77777777" w:rsidR="00295E93" w:rsidRDefault="00295E93" w:rsidP="002A3DE3">
      <w:pPr>
        <w:rPr>
          <w:rFonts w:ascii="Times" w:hAnsi="Times"/>
          <w:szCs w:val="22"/>
        </w:rPr>
      </w:pPr>
    </w:p>
    <w:p w14:paraId="7FB33E8F" w14:textId="61381AB1" w:rsidR="002A3DE3" w:rsidRDefault="002A3DE3" w:rsidP="002A3DE3">
      <w:r>
        <w:rPr>
          <w:noProof/>
          <w:lang w:eastAsia="en-US"/>
        </w:rPr>
        <w:drawing>
          <wp:inline distT="0" distB="0" distL="0" distR="0" wp14:anchorId="697CBA40" wp14:editId="16FF072B">
            <wp:extent cx="3823335" cy="3519769"/>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823335" cy="3519769"/>
                    </a:xfrm>
                    <a:prstGeom prst="rect">
                      <a:avLst/>
                    </a:prstGeom>
                  </pic:spPr>
                </pic:pic>
              </a:graphicData>
            </a:graphic>
          </wp:inline>
        </w:drawing>
      </w:r>
    </w:p>
    <w:p w14:paraId="50C2AA40" w14:textId="4064D12B" w:rsidR="002A3DE3" w:rsidRPr="002A3DE3" w:rsidRDefault="002A3DE3" w:rsidP="002A3DE3">
      <w:pPr>
        <w:pStyle w:val="NormalWeb"/>
        <w:rPr>
          <w:sz w:val="24"/>
          <w:szCs w:val="24"/>
        </w:rPr>
      </w:pPr>
      <w:r w:rsidRPr="002A3DE3">
        <w:rPr>
          <w:sz w:val="24"/>
          <w:szCs w:val="24"/>
        </w:rPr>
        <w:t xml:space="preserve">Figure </w:t>
      </w:r>
      <w:r w:rsidR="00295E93">
        <w:rPr>
          <w:sz w:val="24"/>
          <w:szCs w:val="24"/>
        </w:rPr>
        <w:t>III.</w:t>
      </w:r>
      <w:r w:rsidRPr="002A3DE3">
        <w:rPr>
          <w:sz w:val="24"/>
          <w:szCs w:val="24"/>
        </w:rPr>
        <w:t xml:space="preserve">2. </w:t>
      </w:r>
      <w:proofErr w:type="gramStart"/>
      <w:r w:rsidRPr="002A3DE3">
        <w:rPr>
          <w:b/>
          <w:sz w:val="24"/>
          <w:szCs w:val="24"/>
        </w:rPr>
        <w:t>Non-metric multidimensional scaling (NMDS) analysis of fatty acid profiles for oysters from 400, 800 and 2800 µatm.</w:t>
      </w:r>
      <w:proofErr w:type="gramEnd"/>
      <w:r w:rsidRPr="002A3DE3">
        <w:rPr>
          <w:sz w:val="24"/>
          <w:szCs w:val="24"/>
        </w:rPr>
        <w:t xml:space="preserve">  There are no differences in relative amounts of fatty acids among the three treatment groups.</w:t>
      </w:r>
    </w:p>
    <w:p w14:paraId="45924201" w14:textId="5DF8CE56" w:rsidR="00EF2726" w:rsidRDefault="00EF2726" w:rsidP="00EF2726">
      <w:pPr>
        <w:pStyle w:val="Heading3"/>
      </w:pPr>
      <w:bookmarkStart w:id="63" w:name="_Toc252110023"/>
      <w:r>
        <w:t>Heat shock response</w:t>
      </w:r>
      <w:bookmarkEnd w:id="63"/>
    </w:p>
    <w:p w14:paraId="3FDFE7A4" w14:textId="77777777" w:rsidR="00C85C10" w:rsidRPr="00C85C10" w:rsidRDefault="00C85C10" w:rsidP="00C85C10"/>
    <w:p w14:paraId="0D3BA283" w14:textId="6E257891" w:rsidR="007C548F" w:rsidRDefault="007C548F" w:rsidP="00295E93">
      <w:pPr>
        <w:spacing w:line="360" w:lineRule="auto"/>
        <w:ind w:firstLine="720"/>
        <w:rPr>
          <w:rFonts w:ascii="Times" w:hAnsi="Times"/>
          <w:szCs w:val="22"/>
        </w:rPr>
      </w:pPr>
      <w:r w:rsidRPr="00183126">
        <w:rPr>
          <w:rFonts w:ascii="Times" w:hAnsi="Times"/>
          <w:szCs w:val="22"/>
        </w:rPr>
        <w:t xml:space="preserve">Although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2</w:t>
      </w:r>
      <w:r w:rsidRPr="00183126">
        <w:rPr>
          <w:rFonts w:ascii="Times" w:hAnsi="Times"/>
          <w:szCs w:val="22"/>
        </w:rPr>
        <w:t xml:space="preserve"> did not affect risk of oyster mortality in response to heat shock (p &gt; 0.05) (Figure </w:t>
      </w:r>
      <w:r w:rsidR="00AC2902">
        <w:rPr>
          <w:rFonts w:ascii="Times" w:hAnsi="Times"/>
          <w:szCs w:val="22"/>
        </w:rPr>
        <w:t>III.</w:t>
      </w:r>
      <w:r w:rsidRPr="00183126">
        <w:rPr>
          <w:rFonts w:ascii="Times" w:hAnsi="Times"/>
          <w:szCs w:val="22"/>
        </w:rPr>
        <w:t xml:space="preserve">3), increased temperature did increase mortality risk (z = 2.073, p = 0.0382).  One hundred percent mortality (n = 8 oysters per temperature per treatment) occurred across all three treatments by day 5 post-heat </w:t>
      </w:r>
      <w:proofErr w:type="gramStart"/>
      <w:r w:rsidRPr="00183126">
        <w:rPr>
          <w:rFonts w:ascii="Times" w:hAnsi="Times"/>
          <w:szCs w:val="22"/>
        </w:rPr>
        <w:t>shock</w:t>
      </w:r>
      <w:proofErr w:type="gramEnd"/>
      <w:r w:rsidRPr="00183126">
        <w:rPr>
          <w:rFonts w:ascii="Times" w:hAnsi="Times"/>
          <w:szCs w:val="22"/>
        </w:rPr>
        <w:t xml:space="preserve"> at the lethal temperature (44°C).  No mortality occurred by day 6 post-heat shock in the 42°C group (data not shown</w:t>
      </w:r>
    </w:p>
    <w:p w14:paraId="15C0F573" w14:textId="43D64026" w:rsidR="002A3DE3" w:rsidRDefault="007C548F" w:rsidP="00295E93">
      <w:pPr>
        <w:spacing w:line="360" w:lineRule="auto"/>
        <w:ind w:firstLine="720"/>
      </w:pPr>
      <w:r w:rsidRPr="00183126">
        <w:rPr>
          <w:rFonts w:ascii="Times" w:hAnsi="Times"/>
          <w:szCs w:val="22"/>
        </w:rPr>
        <w:t xml:space="preserve">). </w:t>
      </w:r>
      <w:r w:rsidR="002A3DE3">
        <w:rPr>
          <w:noProof/>
          <w:lang w:eastAsia="en-US"/>
        </w:rPr>
        <w:drawing>
          <wp:inline distT="0" distB="0" distL="0" distR="0" wp14:anchorId="507397EA" wp14:editId="0AFE5EB1">
            <wp:extent cx="3480435" cy="31561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32">
                      <a:extLst>
                        <a:ext uri="{28A0092B-C50C-407E-A947-70E740481C1C}">
                          <a14:useLocalDpi xmlns:a14="http://schemas.microsoft.com/office/drawing/2010/main" val="0"/>
                        </a:ext>
                      </a:extLst>
                    </a:blip>
                    <a:stretch>
                      <a:fillRect/>
                    </a:stretch>
                  </pic:blipFill>
                  <pic:spPr>
                    <a:xfrm>
                      <a:off x="0" y="0"/>
                      <a:ext cx="3480435" cy="3156158"/>
                    </a:xfrm>
                    <a:prstGeom prst="rect">
                      <a:avLst/>
                    </a:prstGeom>
                  </pic:spPr>
                </pic:pic>
              </a:graphicData>
            </a:graphic>
          </wp:inline>
        </w:drawing>
      </w:r>
    </w:p>
    <w:p w14:paraId="5B836F0F" w14:textId="68353D33" w:rsidR="002A3DE3" w:rsidRPr="00EF2726" w:rsidRDefault="002A3DE3" w:rsidP="002A3DE3">
      <w:r w:rsidRPr="00A51D89">
        <w:rPr>
          <w:rFonts w:ascii="Times" w:hAnsi="Times"/>
        </w:rPr>
        <w:t xml:space="preserve">Figure </w:t>
      </w:r>
      <w:r w:rsidR="00295E93">
        <w:rPr>
          <w:rFonts w:ascii="Times" w:hAnsi="Times"/>
        </w:rPr>
        <w:t>III.</w:t>
      </w:r>
      <w:r w:rsidRPr="00A51D89">
        <w:rPr>
          <w:rFonts w:ascii="Times" w:hAnsi="Times"/>
        </w:rPr>
        <w:t xml:space="preserve">3. </w:t>
      </w:r>
      <w:r w:rsidRPr="00A51D89">
        <w:rPr>
          <w:rFonts w:ascii="Times" w:hAnsi="Times"/>
          <w:b/>
        </w:rPr>
        <w:t>Oyster mortality after 1 hour heat shock at 43°C (dashed lines) or 44°C (solid lines).</w:t>
      </w:r>
      <w:r w:rsidRPr="00A51D89">
        <w:rPr>
          <w:rFonts w:ascii="Times" w:hAnsi="Times"/>
        </w:rPr>
        <w:t xml:space="preserve">  Mortality from heat shock did not differ among groups of oysters exposed to different pCO</w:t>
      </w:r>
      <w:r w:rsidRPr="00A51D89">
        <w:rPr>
          <w:rFonts w:ascii="Times" w:hAnsi="Times"/>
          <w:vertAlign w:val="subscript"/>
        </w:rPr>
        <w:t xml:space="preserve">2 </w:t>
      </w:r>
      <w:r w:rsidRPr="00A51D89">
        <w:rPr>
          <w:rFonts w:ascii="Times" w:hAnsi="Times"/>
        </w:rPr>
        <w:t xml:space="preserve">for 1 month - 400 µatm (blue), 800 µatm (green), 1000 µatm (yellow), </w:t>
      </w:r>
      <w:proofErr w:type="gramStart"/>
      <w:r w:rsidRPr="00A51D89">
        <w:rPr>
          <w:rFonts w:ascii="Times" w:hAnsi="Times"/>
        </w:rPr>
        <w:t>2800 µatm</w:t>
      </w:r>
      <w:proofErr w:type="gramEnd"/>
      <w:r w:rsidRPr="00A51D89">
        <w:rPr>
          <w:rFonts w:ascii="Times" w:hAnsi="Times"/>
        </w:rPr>
        <w:t xml:space="preserve"> (orange).</w:t>
      </w:r>
    </w:p>
    <w:p w14:paraId="03A7F89A" w14:textId="2D10A165" w:rsidR="00EF2726" w:rsidRDefault="00EF2726" w:rsidP="00EF2726">
      <w:pPr>
        <w:pStyle w:val="Heading3"/>
      </w:pPr>
      <w:bookmarkStart w:id="64" w:name="_Toc252110024"/>
      <w:r>
        <w:t>Proteomics</w:t>
      </w:r>
      <w:bookmarkEnd w:id="64"/>
    </w:p>
    <w:p w14:paraId="0BC66083" w14:textId="77777777" w:rsidR="00C85C10" w:rsidRPr="00C85C10" w:rsidRDefault="00C85C10" w:rsidP="00C85C10"/>
    <w:p w14:paraId="7D3A1FD0" w14:textId="17E49AAE" w:rsidR="007C548F" w:rsidRPr="00264A18" w:rsidRDefault="007C548F" w:rsidP="007C548F">
      <w:pPr>
        <w:pStyle w:val="normal0"/>
        <w:spacing w:line="360" w:lineRule="auto"/>
        <w:ind w:firstLine="720"/>
        <w:rPr>
          <w:rFonts w:ascii="Times" w:hAnsi="Times"/>
          <w:sz w:val="24"/>
        </w:rPr>
      </w:pPr>
      <w:r w:rsidRPr="00264A18">
        <w:rPr>
          <w:rFonts w:ascii="Times" w:hAnsi="Times"/>
          <w:sz w:val="24"/>
        </w:rPr>
        <w:t xml:space="preserve">After filtering, 700 733 peptides were considered for analysis corresponding to 1 616 proteins (Table </w:t>
      </w:r>
      <w:r w:rsidR="00AC2902">
        <w:rPr>
          <w:rFonts w:ascii="Times" w:hAnsi="Times"/>
          <w:sz w:val="24"/>
        </w:rPr>
        <w:t>III.</w:t>
      </w:r>
      <w:r w:rsidRPr="00264A18">
        <w:rPr>
          <w:rFonts w:ascii="Times" w:hAnsi="Times"/>
          <w:sz w:val="24"/>
        </w:rPr>
        <w:t xml:space="preserve">S2, Table </w:t>
      </w:r>
      <w:r w:rsidR="00AC2902">
        <w:rPr>
          <w:rFonts w:ascii="Times" w:hAnsi="Times"/>
          <w:sz w:val="24"/>
        </w:rPr>
        <w:t>III.</w:t>
      </w:r>
      <w:r w:rsidRPr="00264A18">
        <w:rPr>
          <w:rFonts w:ascii="Times" w:hAnsi="Times"/>
          <w:sz w:val="24"/>
        </w:rPr>
        <w:t xml:space="preserve">S3, Table </w:t>
      </w:r>
      <w:r w:rsidR="00AC2902">
        <w:rPr>
          <w:rFonts w:ascii="Times" w:hAnsi="Times"/>
          <w:sz w:val="24"/>
        </w:rPr>
        <w:t>III.</w:t>
      </w:r>
      <w:r w:rsidRPr="00264A18">
        <w:rPr>
          <w:rFonts w:ascii="Times" w:hAnsi="Times"/>
          <w:sz w:val="24"/>
        </w:rPr>
        <w:t xml:space="preserve">3).  Eighty-nine percent (1 449) of proteins were annotated using the UniProt-KB/SwissProt database and 77% (1 250) of those were further categorized with Gene Ontology information (Table </w:t>
      </w:r>
      <w:r w:rsidR="00AC2902">
        <w:rPr>
          <w:rFonts w:ascii="Times" w:hAnsi="Times"/>
          <w:sz w:val="24"/>
        </w:rPr>
        <w:t>III.</w:t>
      </w:r>
      <w:r w:rsidRPr="00264A18">
        <w:rPr>
          <w:rFonts w:ascii="Times" w:hAnsi="Times"/>
          <w:sz w:val="24"/>
        </w:rPr>
        <w:t xml:space="preserve">S4).  </w:t>
      </w:r>
    </w:p>
    <w:p w14:paraId="39E372F6" w14:textId="77777777" w:rsidR="007C548F" w:rsidRPr="00264A18" w:rsidRDefault="007C548F" w:rsidP="007C548F">
      <w:pPr>
        <w:pStyle w:val="normal0"/>
        <w:spacing w:line="360" w:lineRule="auto"/>
        <w:rPr>
          <w:rFonts w:ascii="Times" w:hAnsi="Times"/>
          <w:sz w:val="24"/>
        </w:rPr>
      </w:pPr>
    </w:p>
    <w:p w14:paraId="65BE1FB5" w14:textId="3BBB9E75" w:rsidR="007C548F" w:rsidRPr="00264A18" w:rsidRDefault="007C548F" w:rsidP="007C548F">
      <w:pPr>
        <w:pStyle w:val="normal0"/>
        <w:spacing w:line="360" w:lineRule="auto"/>
        <w:rPr>
          <w:rFonts w:ascii="Times" w:hAnsi="Times"/>
          <w:sz w:val="24"/>
        </w:rPr>
      </w:pPr>
      <w:r w:rsidRPr="00264A18">
        <w:rPr>
          <w:rFonts w:ascii="Times" w:hAnsi="Times"/>
          <w:sz w:val="24"/>
        </w:rPr>
        <w:tab/>
        <w:t xml:space="preserve">Pairwise comparisons were made based on gill protein expression between 1) oysters held at 400 </w:t>
      </w:r>
      <w:bookmarkStart w:id="65" w:name="OLE_LINK1"/>
      <w:bookmarkStart w:id="66" w:name="OLE_LINK2"/>
      <w:r w:rsidRPr="00264A18">
        <w:rPr>
          <w:rFonts w:ascii="Times" w:hAnsi="Times"/>
          <w:sz w:val="24"/>
        </w:rPr>
        <w:t xml:space="preserve">µatm </w:t>
      </w:r>
      <w:bookmarkEnd w:id="65"/>
      <w:bookmarkEnd w:id="66"/>
      <w:r w:rsidRPr="00264A18">
        <w:rPr>
          <w:rFonts w:ascii="Times" w:hAnsi="Times"/>
          <w:sz w:val="24"/>
        </w:rPr>
        <w:t xml:space="preserve">versus oysters held at 2800 µatm, 2) </w:t>
      </w:r>
      <w:bookmarkStart w:id="67" w:name="OLE_LINK3"/>
      <w:bookmarkStart w:id="68" w:name="OLE_LINK4"/>
      <w:r w:rsidRPr="00264A18">
        <w:rPr>
          <w:rFonts w:ascii="Times" w:hAnsi="Times"/>
          <w:sz w:val="24"/>
        </w:rPr>
        <w:t xml:space="preserve">oysters held at 400 µatm versus oysters held at 400 µatm </w:t>
      </w:r>
      <w:bookmarkStart w:id="69" w:name="OLE_LINK5"/>
      <w:bookmarkStart w:id="70" w:name="OLE_LINK6"/>
      <w:r w:rsidRPr="00264A18">
        <w:rPr>
          <w:rFonts w:ascii="Times" w:hAnsi="Times"/>
          <w:sz w:val="24"/>
        </w:rPr>
        <w:t xml:space="preserve">subjected to </w:t>
      </w:r>
      <w:bookmarkEnd w:id="69"/>
      <w:bookmarkEnd w:id="70"/>
      <w:r w:rsidRPr="00264A18">
        <w:rPr>
          <w:rFonts w:ascii="Times" w:hAnsi="Times"/>
          <w:sz w:val="24"/>
        </w:rPr>
        <w:t>subsequent mechanical stress</w:t>
      </w:r>
      <w:bookmarkEnd w:id="67"/>
      <w:bookmarkEnd w:id="68"/>
      <w:r w:rsidRPr="00264A18">
        <w:rPr>
          <w:rFonts w:ascii="Times" w:hAnsi="Times"/>
          <w:sz w:val="24"/>
        </w:rPr>
        <w:t xml:space="preserve">, and 3) oysters held at 2800 µatm versus oysters held at 2800 µatm subjected to subsequent mechanical stress.  The proteomic response of oyster gill tissues under high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conditions compared to 400 µatm was characterized by increased expression of 148 proteins and decreased expression of 136 proteins (Figure </w:t>
      </w:r>
      <w:r w:rsidR="00AC2902">
        <w:rPr>
          <w:rFonts w:ascii="Times" w:hAnsi="Times"/>
          <w:sz w:val="24"/>
        </w:rPr>
        <w:t>III.</w:t>
      </w:r>
      <w:r w:rsidRPr="00264A18">
        <w:rPr>
          <w:rFonts w:ascii="Times" w:hAnsi="Times"/>
          <w:sz w:val="24"/>
        </w:rPr>
        <w:t xml:space="preserve">4A, Figure </w:t>
      </w:r>
      <w:r w:rsidR="00AC2902">
        <w:rPr>
          <w:rFonts w:ascii="Times" w:hAnsi="Times"/>
          <w:sz w:val="24"/>
        </w:rPr>
        <w:t>III.</w:t>
      </w:r>
      <w:r w:rsidRPr="00264A18">
        <w:rPr>
          <w:rFonts w:ascii="Times" w:hAnsi="Times"/>
          <w:sz w:val="24"/>
        </w:rPr>
        <w:t xml:space="preserve">S2). </w:t>
      </w:r>
      <w:r w:rsidRPr="00264A18">
        <w:rPr>
          <w:rFonts w:ascii="Times" w:hAnsi="Times"/>
          <w:b/>
          <w:sz w:val="24"/>
        </w:rPr>
        <w:t xml:space="preserve"> </w:t>
      </w:r>
      <w:r w:rsidRPr="00264A18">
        <w:rPr>
          <w:rFonts w:ascii="Times" w:hAnsi="Times"/>
          <w:sz w:val="24"/>
        </w:rPr>
        <w:t xml:space="preserve">Proteins identified as differentially expressed include those involved in carbohydrate metabolism (i.e. α-L-fucosidase, probable β-D-xylosidase 5, succinyl-CoA ligase, and UDP-glucose 4-epimerase), cell growth (i.e. thymidine phosphorylase and tyrosine-protein kinase Yes), transcription and translation (i.e. calcium-regulated heat stable protein 1, prohibitin-2, and translational activator BCN1), response to reactive oxygen species (i.e. glutathione S-transferase Ω-1), and signaling (i.e. dual specificity mitogen-activated protein kinase kinase 1, calcium-dependent protein kinase C). Gene enrichment analysis revealed enriched proteins are associated with transcription (i.e. transcription elongation regulator 1, 5’-3’ exoribonuclease 2), cell junction organization and cell adhesion (i.e. myosin heavy chain 95F, protocadherin Fat 4), and cell proliferation and tissue development (i.e. integrin β-PS, growth arrest-specific protein 8) (Table </w:t>
      </w:r>
      <w:r w:rsidR="00AC2902">
        <w:rPr>
          <w:rFonts w:ascii="Times" w:hAnsi="Times"/>
          <w:sz w:val="24"/>
        </w:rPr>
        <w:t>III.</w:t>
      </w:r>
      <w:r w:rsidRPr="00264A18">
        <w:rPr>
          <w:rFonts w:ascii="Times" w:hAnsi="Times"/>
          <w:sz w:val="24"/>
        </w:rPr>
        <w:t xml:space="preserve">S5).  </w:t>
      </w:r>
    </w:p>
    <w:p w14:paraId="49D34283" w14:textId="4199812E" w:rsidR="007C548F" w:rsidRPr="00264A18" w:rsidRDefault="007C548F" w:rsidP="007C548F">
      <w:pPr>
        <w:pStyle w:val="normal0"/>
        <w:spacing w:line="360" w:lineRule="auto"/>
        <w:ind w:firstLine="720"/>
        <w:rPr>
          <w:rFonts w:ascii="Times" w:hAnsi="Times"/>
          <w:sz w:val="24"/>
        </w:rPr>
      </w:pPr>
      <w:r w:rsidRPr="00264A18">
        <w:rPr>
          <w:rFonts w:ascii="Times" w:hAnsi="Times"/>
          <w:sz w:val="24"/>
        </w:rPr>
        <w:t xml:space="preserve">Two hundred forty-five proteins were differentially expressed upon mechanical stimulation at 400 µatm. One hundred seven were elevated under mechanical stress and 138 proteins were expressed at a lower level (Figure </w:t>
      </w:r>
      <w:r w:rsidR="00AC2902">
        <w:rPr>
          <w:rFonts w:ascii="Times" w:hAnsi="Times"/>
          <w:sz w:val="24"/>
        </w:rPr>
        <w:t>III.</w:t>
      </w:r>
      <w:r w:rsidRPr="00264A18">
        <w:rPr>
          <w:rFonts w:ascii="Times" w:hAnsi="Times"/>
          <w:sz w:val="24"/>
        </w:rPr>
        <w:t xml:space="preserve">4B, Figure </w:t>
      </w:r>
      <w:r w:rsidR="00AC2902">
        <w:rPr>
          <w:rFonts w:ascii="Times" w:hAnsi="Times"/>
          <w:sz w:val="24"/>
        </w:rPr>
        <w:t>III.</w:t>
      </w:r>
      <w:r w:rsidRPr="00264A18">
        <w:rPr>
          <w:rFonts w:ascii="Times" w:hAnsi="Times"/>
          <w:sz w:val="24"/>
        </w:rPr>
        <w:t xml:space="preserve">S2).  The proteins that were differentially expressed included those involved in apoptosis (i.e. programmed cell death protein 5, CDGSH iron-sulfur domain-containing protein 2), carbohydrate metabolism (i.e. α-L-fucosidase, lysosomal α-mannosidase, phosphoacetylglucosamine mutase), and transcription and translation (i.e. histone deacetylase complex subunit SAP18, eukaryotic translation initiation factor 3 subunit A). Significantly enriched biological processes in the response to mechanical stress included RNA metabolism (i.e. histone deacetylase complex subunit SAP18, U1 small nuclear ribonucleoprotein A), transcription (i.e. nucleosome assembly protein 1-like 1), and gamete generation (i.e. tyrosine-protein kinase Btk29A).  </w:t>
      </w:r>
    </w:p>
    <w:p w14:paraId="0C2CA8CA" w14:textId="77142962" w:rsidR="00295E93" w:rsidRPr="00264A18" w:rsidRDefault="007C548F" w:rsidP="007C548F">
      <w:pPr>
        <w:pStyle w:val="normal0"/>
        <w:spacing w:line="360" w:lineRule="auto"/>
        <w:ind w:firstLine="720"/>
        <w:rPr>
          <w:rFonts w:ascii="Times" w:hAnsi="Times"/>
          <w:sz w:val="24"/>
        </w:rPr>
      </w:pPr>
      <w:r w:rsidRPr="00264A18">
        <w:rPr>
          <w:rFonts w:ascii="Times" w:hAnsi="Times"/>
          <w:sz w:val="24"/>
        </w:rPr>
        <w:t xml:space="preserve">One hundred forty-nine proteins were elevated and 137 proteins were expressed at decreased levels when oysters held at 2800 µatm were subjected to mechanical stress (Figure </w:t>
      </w:r>
      <w:r w:rsidR="00AC2902">
        <w:rPr>
          <w:rFonts w:ascii="Times" w:hAnsi="Times"/>
          <w:sz w:val="24"/>
        </w:rPr>
        <w:t>III.</w:t>
      </w:r>
      <w:r w:rsidRPr="00264A18">
        <w:rPr>
          <w:rFonts w:ascii="Times" w:hAnsi="Times"/>
          <w:sz w:val="24"/>
        </w:rPr>
        <w:t xml:space="preserve">4C, Figure </w:t>
      </w:r>
      <w:r w:rsidR="00AC2902">
        <w:rPr>
          <w:rFonts w:ascii="Times" w:hAnsi="Times"/>
          <w:sz w:val="24"/>
        </w:rPr>
        <w:t>III.</w:t>
      </w:r>
      <w:r w:rsidRPr="00264A18">
        <w:rPr>
          <w:rFonts w:ascii="Times" w:hAnsi="Times"/>
          <w:sz w:val="24"/>
        </w:rPr>
        <w:t xml:space="preserve">S2).  Differentially expressed proteins included those involved in response to reactive oxygen species (i.e. glutathione S-transferase μ 3 and dual oxidase 2), apoptosis (i.e. caspase-7 and engulfment cell motility protein 2), cell adhesion (i.e. protocadherin Fat 4, contactin), and signaling (i.e. E3 ubiquitin-protein ligase M|B2, prohormone-4).  Polysaccharide metabolism and synthesis processes were affected by mechanical stress at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as evidenced by their enrichment in this treatment, resulting from the differential expression of proteins including glycogen debranching enzyme, glycogenin-1, UDP-glucose 6-dehydrogenase, putative glycogen [starch] synthase, lysosomal α-glucosidase, and β-hexosaminidase subunit β (Table </w:t>
      </w:r>
      <w:r w:rsidR="00AC2902">
        <w:rPr>
          <w:rFonts w:ascii="Times" w:hAnsi="Times"/>
          <w:sz w:val="24"/>
        </w:rPr>
        <w:t>III.</w:t>
      </w:r>
      <w:r w:rsidRPr="00264A18">
        <w:rPr>
          <w:rFonts w:ascii="Times" w:hAnsi="Times"/>
          <w:sz w:val="24"/>
        </w:rPr>
        <w:t>S3).  Transcription was also significantly enriched in this stress response (i.e. transcription elongation regulator 1 and basic leucine zipper and W2 domain-containing protein 1).</w:t>
      </w:r>
    </w:p>
    <w:p w14:paraId="0B9E2E2F" w14:textId="56322896" w:rsidR="00EF2726" w:rsidRDefault="00EF2726" w:rsidP="00EF2726">
      <w:pPr>
        <w:ind w:firstLine="720"/>
        <w:rPr>
          <w:rFonts w:ascii="Times" w:hAnsi="Times"/>
        </w:rPr>
      </w:pPr>
    </w:p>
    <w:p w14:paraId="02C6F453" w14:textId="77777777" w:rsidR="002A3DE3" w:rsidRDefault="002A3DE3" w:rsidP="00EF2726">
      <w:pPr>
        <w:ind w:firstLine="720"/>
        <w:rPr>
          <w:rFonts w:ascii="Times" w:hAnsi="Times"/>
        </w:rPr>
      </w:pPr>
    </w:p>
    <w:p w14:paraId="62111526" w14:textId="1EF78305"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3. </w:t>
      </w:r>
      <w:r w:rsidR="00426D9F" w:rsidRPr="00B14C1B">
        <w:rPr>
          <w:rFonts w:ascii="Times" w:hAnsi="Times"/>
          <w:szCs w:val="22"/>
        </w:rPr>
        <w:t xml:space="preserve">Total number of proteins identified for each oyster across all three technical replicates with numbers of proteins for each individual technical replicate in parentheses.  </w:t>
      </w:r>
      <w:proofErr w:type="gramStart"/>
      <w:r w:rsidR="00426D9F" w:rsidRPr="00B14C1B">
        <w:rPr>
          <w:rFonts w:ascii="Times" w:hAnsi="Times"/>
          <w:szCs w:val="22"/>
        </w:rPr>
        <w:t>Number of proteins shared among all three technical replicates (with percentage of total) are</w:t>
      </w:r>
      <w:proofErr w:type="gramEnd"/>
      <w:r w:rsidR="00426D9F" w:rsidRPr="00B14C1B">
        <w:rPr>
          <w:rFonts w:ascii="Times" w:hAnsi="Times"/>
          <w:szCs w:val="22"/>
        </w:rPr>
        <w:t xml:space="preserve"> in the third column.</w:t>
      </w:r>
    </w:p>
    <w:tbl>
      <w:tblPr>
        <w:tblStyle w:val="TableGrid"/>
        <w:tblW w:w="0" w:type="auto"/>
        <w:tblLook w:val="04A0" w:firstRow="1" w:lastRow="0" w:firstColumn="1" w:lastColumn="0" w:noHBand="0" w:noVBand="1"/>
      </w:tblPr>
      <w:tblGrid>
        <w:gridCol w:w="2948"/>
        <w:gridCol w:w="2955"/>
        <w:gridCol w:w="2953"/>
      </w:tblGrid>
      <w:tr w:rsidR="002A3DE3" w:rsidRPr="008047DF" w14:paraId="310A0F1C" w14:textId="77777777" w:rsidTr="00426D9F">
        <w:tc>
          <w:tcPr>
            <w:tcW w:w="3192" w:type="dxa"/>
          </w:tcPr>
          <w:p w14:paraId="2F3BD2AC" w14:textId="77777777" w:rsidR="002A3DE3" w:rsidRPr="008047DF" w:rsidRDefault="002A3DE3" w:rsidP="00426D9F">
            <w:pPr>
              <w:pStyle w:val="normal0"/>
              <w:spacing w:line="360" w:lineRule="auto"/>
              <w:rPr>
                <w:rFonts w:ascii="Times" w:hAnsi="Times"/>
              </w:rPr>
            </w:pPr>
            <w:r w:rsidRPr="008047DF">
              <w:rPr>
                <w:rFonts w:ascii="Times" w:hAnsi="Times"/>
              </w:rPr>
              <w:t>Oyster (pCO</w:t>
            </w:r>
            <w:r w:rsidRPr="008047DF">
              <w:rPr>
                <w:rFonts w:ascii="Times" w:hAnsi="Times"/>
                <w:vertAlign w:val="subscript"/>
              </w:rPr>
              <w:t>2</w:t>
            </w:r>
            <w:r w:rsidRPr="008047DF">
              <w:rPr>
                <w:rFonts w:ascii="Times" w:hAnsi="Times"/>
              </w:rPr>
              <w:t xml:space="preserve"> – biological replicate)</w:t>
            </w:r>
          </w:p>
        </w:tc>
        <w:tc>
          <w:tcPr>
            <w:tcW w:w="3192" w:type="dxa"/>
          </w:tcPr>
          <w:p w14:paraId="250DD5B8" w14:textId="77777777" w:rsidR="002A3DE3" w:rsidRPr="008047DF" w:rsidRDefault="002A3DE3" w:rsidP="00426D9F">
            <w:pPr>
              <w:pStyle w:val="normal0"/>
              <w:spacing w:line="360" w:lineRule="auto"/>
              <w:rPr>
                <w:rFonts w:ascii="Times" w:hAnsi="Times"/>
              </w:rPr>
            </w:pPr>
            <w:r w:rsidRPr="008047DF">
              <w:rPr>
                <w:rFonts w:ascii="Times" w:hAnsi="Times"/>
              </w:rPr>
              <w:t>Total Proteins (Technical replicate #1, #2, #3)</w:t>
            </w:r>
          </w:p>
        </w:tc>
        <w:tc>
          <w:tcPr>
            <w:tcW w:w="3192" w:type="dxa"/>
          </w:tcPr>
          <w:p w14:paraId="1ECCC764" w14:textId="77777777" w:rsidR="002A3DE3" w:rsidRPr="008047DF" w:rsidRDefault="002A3DE3" w:rsidP="00426D9F">
            <w:pPr>
              <w:pStyle w:val="normal0"/>
              <w:spacing w:line="360" w:lineRule="auto"/>
              <w:rPr>
                <w:rFonts w:ascii="Times" w:hAnsi="Times"/>
              </w:rPr>
            </w:pPr>
            <w:r w:rsidRPr="008047DF">
              <w:rPr>
                <w:rFonts w:ascii="Times" w:hAnsi="Times"/>
              </w:rPr>
              <w:t>Proteins Across All 3 Replicates (% of Total)</w:t>
            </w:r>
          </w:p>
        </w:tc>
      </w:tr>
      <w:tr w:rsidR="002A3DE3" w:rsidRPr="008047DF" w14:paraId="4266EFE0" w14:textId="77777777" w:rsidTr="00426D9F">
        <w:tc>
          <w:tcPr>
            <w:tcW w:w="3192" w:type="dxa"/>
          </w:tcPr>
          <w:p w14:paraId="69F27F75" w14:textId="77777777" w:rsidR="002A3DE3" w:rsidRPr="008047DF" w:rsidRDefault="002A3DE3" w:rsidP="00426D9F">
            <w:pPr>
              <w:pStyle w:val="normal0"/>
              <w:spacing w:line="360" w:lineRule="auto"/>
              <w:rPr>
                <w:rFonts w:ascii="Times" w:hAnsi="Times"/>
              </w:rPr>
            </w:pPr>
            <w:r w:rsidRPr="008047DF">
              <w:rPr>
                <w:rFonts w:ascii="Times" w:hAnsi="Times"/>
              </w:rPr>
              <w:t>400-1</w:t>
            </w:r>
          </w:p>
        </w:tc>
        <w:tc>
          <w:tcPr>
            <w:tcW w:w="3192" w:type="dxa"/>
          </w:tcPr>
          <w:p w14:paraId="1710A6FD" w14:textId="77777777" w:rsidR="002A3DE3" w:rsidRPr="008047DF" w:rsidRDefault="002A3DE3" w:rsidP="00426D9F">
            <w:pPr>
              <w:pStyle w:val="normal0"/>
              <w:spacing w:line="360" w:lineRule="auto"/>
              <w:rPr>
                <w:rFonts w:ascii="Times" w:hAnsi="Times"/>
              </w:rPr>
            </w:pPr>
            <w:r w:rsidRPr="008047DF">
              <w:rPr>
                <w:rFonts w:ascii="Times" w:hAnsi="Times"/>
              </w:rPr>
              <w:t>882 (869, 871, 873)</w:t>
            </w:r>
          </w:p>
        </w:tc>
        <w:tc>
          <w:tcPr>
            <w:tcW w:w="3192" w:type="dxa"/>
          </w:tcPr>
          <w:p w14:paraId="74E2F892" w14:textId="77777777" w:rsidR="002A3DE3" w:rsidRPr="008047DF" w:rsidRDefault="002A3DE3" w:rsidP="00426D9F">
            <w:pPr>
              <w:pStyle w:val="normal0"/>
              <w:spacing w:line="360" w:lineRule="auto"/>
              <w:rPr>
                <w:rFonts w:ascii="Times" w:hAnsi="Times"/>
              </w:rPr>
            </w:pPr>
            <w:r w:rsidRPr="008047DF">
              <w:rPr>
                <w:rFonts w:ascii="Times" w:hAnsi="Times"/>
              </w:rPr>
              <w:t>853 (96.7%)</w:t>
            </w:r>
          </w:p>
        </w:tc>
      </w:tr>
      <w:tr w:rsidR="002A3DE3" w:rsidRPr="008047DF" w14:paraId="257D4A9A" w14:textId="77777777" w:rsidTr="00426D9F">
        <w:tc>
          <w:tcPr>
            <w:tcW w:w="3192" w:type="dxa"/>
          </w:tcPr>
          <w:p w14:paraId="020D4184" w14:textId="77777777" w:rsidR="002A3DE3" w:rsidRPr="008047DF" w:rsidRDefault="002A3DE3" w:rsidP="00426D9F">
            <w:pPr>
              <w:pStyle w:val="normal0"/>
              <w:spacing w:line="360" w:lineRule="auto"/>
              <w:rPr>
                <w:rFonts w:ascii="Times" w:hAnsi="Times"/>
              </w:rPr>
            </w:pPr>
            <w:r w:rsidRPr="008047DF">
              <w:rPr>
                <w:rFonts w:ascii="Times" w:hAnsi="Times"/>
              </w:rPr>
              <w:t>400-2</w:t>
            </w:r>
          </w:p>
        </w:tc>
        <w:tc>
          <w:tcPr>
            <w:tcW w:w="3192" w:type="dxa"/>
          </w:tcPr>
          <w:p w14:paraId="51970FF6" w14:textId="77777777" w:rsidR="002A3DE3" w:rsidRPr="008047DF" w:rsidRDefault="002A3DE3" w:rsidP="00426D9F">
            <w:pPr>
              <w:pStyle w:val="normal0"/>
              <w:spacing w:line="360" w:lineRule="auto"/>
              <w:rPr>
                <w:rFonts w:ascii="Times" w:hAnsi="Times"/>
              </w:rPr>
            </w:pPr>
            <w:r w:rsidRPr="008047DF">
              <w:rPr>
                <w:rFonts w:ascii="Times" w:hAnsi="Times"/>
              </w:rPr>
              <w:t>878 (861, 863, 861)</w:t>
            </w:r>
          </w:p>
        </w:tc>
        <w:tc>
          <w:tcPr>
            <w:tcW w:w="3192" w:type="dxa"/>
          </w:tcPr>
          <w:p w14:paraId="2B4C3440" w14:textId="77777777" w:rsidR="002A3DE3" w:rsidRPr="008047DF" w:rsidRDefault="002A3DE3" w:rsidP="00426D9F">
            <w:pPr>
              <w:pStyle w:val="normal0"/>
              <w:spacing w:line="360" w:lineRule="auto"/>
              <w:rPr>
                <w:rFonts w:ascii="Times" w:hAnsi="Times"/>
              </w:rPr>
            </w:pPr>
            <w:r w:rsidRPr="008047DF">
              <w:rPr>
                <w:rFonts w:ascii="Times" w:hAnsi="Times"/>
              </w:rPr>
              <w:t>841 (95.8%)</w:t>
            </w:r>
          </w:p>
        </w:tc>
      </w:tr>
      <w:tr w:rsidR="002A3DE3" w:rsidRPr="008047DF" w14:paraId="5F4D3FD0" w14:textId="77777777" w:rsidTr="00426D9F">
        <w:tc>
          <w:tcPr>
            <w:tcW w:w="3192" w:type="dxa"/>
          </w:tcPr>
          <w:p w14:paraId="52A3B722" w14:textId="77777777" w:rsidR="002A3DE3" w:rsidRPr="008047DF" w:rsidRDefault="002A3DE3" w:rsidP="00426D9F">
            <w:pPr>
              <w:pStyle w:val="normal0"/>
              <w:spacing w:line="360" w:lineRule="auto"/>
              <w:rPr>
                <w:rFonts w:ascii="Times" w:hAnsi="Times"/>
              </w:rPr>
            </w:pPr>
            <w:r w:rsidRPr="008047DF">
              <w:rPr>
                <w:rFonts w:ascii="Times" w:hAnsi="Times"/>
              </w:rPr>
              <w:t xml:space="preserve">400-3 </w:t>
            </w:r>
          </w:p>
        </w:tc>
        <w:tc>
          <w:tcPr>
            <w:tcW w:w="3192" w:type="dxa"/>
          </w:tcPr>
          <w:p w14:paraId="6DB56E3D" w14:textId="77777777" w:rsidR="002A3DE3" w:rsidRPr="008047DF" w:rsidRDefault="002A3DE3" w:rsidP="00426D9F">
            <w:pPr>
              <w:pStyle w:val="normal0"/>
              <w:spacing w:line="360" w:lineRule="auto"/>
              <w:rPr>
                <w:rFonts w:ascii="Times" w:hAnsi="Times"/>
              </w:rPr>
            </w:pPr>
            <w:r w:rsidRPr="008047DF">
              <w:rPr>
                <w:rFonts w:ascii="Times" w:hAnsi="Times"/>
              </w:rPr>
              <w:t>836 (819, 824, 819)</w:t>
            </w:r>
          </w:p>
        </w:tc>
        <w:tc>
          <w:tcPr>
            <w:tcW w:w="3192" w:type="dxa"/>
          </w:tcPr>
          <w:p w14:paraId="645300A9" w14:textId="77777777" w:rsidR="002A3DE3" w:rsidRPr="008047DF" w:rsidRDefault="002A3DE3" w:rsidP="00426D9F">
            <w:pPr>
              <w:pStyle w:val="normal0"/>
              <w:spacing w:line="360" w:lineRule="auto"/>
              <w:rPr>
                <w:rFonts w:ascii="Times" w:hAnsi="Times"/>
              </w:rPr>
            </w:pPr>
            <w:r w:rsidRPr="008047DF">
              <w:rPr>
                <w:rFonts w:ascii="Times" w:hAnsi="Times"/>
              </w:rPr>
              <w:t>802 (95.9%)</w:t>
            </w:r>
          </w:p>
        </w:tc>
      </w:tr>
      <w:tr w:rsidR="002A3DE3" w:rsidRPr="008047DF" w14:paraId="4CDA0431" w14:textId="77777777" w:rsidTr="00426D9F">
        <w:tc>
          <w:tcPr>
            <w:tcW w:w="3192" w:type="dxa"/>
          </w:tcPr>
          <w:p w14:paraId="31960866" w14:textId="77777777" w:rsidR="002A3DE3" w:rsidRPr="008047DF" w:rsidRDefault="002A3DE3" w:rsidP="00426D9F">
            <w:pPr>
              <w:pStyle w:val="normal0"/>
              <w:spacing w:line="360" w:lineRule="auto"/>
              <w:rPr>
                <w:rFonts w:ascii="Times" w:hAnsi="Times"/>
              </w:rPr>
            </w:pPr>
            <w:r w:rsidRPr="008047DF">
              <w:rPr>
                <w:rFonts w:ascii="Times" w:hAnsi="Times"/>
              </w:rPr>
              <w:t>400-4</w:t>
            </w:r>
          </w:p>
        </w:tc>
        <w:tc>
          <w:tcPr>
            <w:tcW w:w="3192" w:type="dxa"/>
          </w:tcPr>
          <w:p w14:paraId="63CCF1DE" w14:textId="77777777" w:rsidR="002A3DE3" w:rsidRPr="008047DF" w:rsidRDefault="002A3DE3" w:rsidP="00426D9F">
            <w:pPr>
              <w:pStyle w:val="normal0"/>
              <w:spacing w:line="360" w:lineRule="auto"/>
              <w:rPr>
                <w:rFonts w:ascii="Times" w:hAnsi="Times"/>
              </w:rPr>
            </w:pPr>
            <w:r w:rsidRPr="008047DF">
              <w:rPr>
                <w:rFonts w:ascii="Times" w:hAnsi="Times"/>
              </w:rPr>
              <w:t>867 (855, 856, 857)</w:t>
            </w:r>
          </w:p>
        </w:tc>
        <w:tc>
          <w:tcPr>
            <w:tcW w:w="3192" w:type="dxa"/>
          </w:tcPr>
          <w:p w14:paraId="4867B00F" w14:textId="77777777" w:rsidR="002A3DE3" w:rsidRPr="008047DF" w:rsidRDefault="002A3DE3" w:rsidP="00426D9F">
            <w:pPr>
              <w:pStyle w:val="normal0"/>
              <w:spacing w:line="360" w:lineRule="auto"/>
              <w:rPr>
                <w:rFonts w:ascii="Times" w:hAnsi="Times"/>
              </w:rPr>
            </w:pPr>
            <w:r w:rsidRPr="008047DF">
              <w:rPr>
                <w:rFonts w:ascii="Times" w:hAnsi="Times"/>
              </w:rPr>
              <w:t>839 (96.8%)</w:t>
            </w:r>
          </w:p>
        </w:tc>
      </w:tr>
      <w:tr w:rsidR="002A3DE3" w:rsidRPr="008047DF" w14:paraId="13997506" w14:textId="77777777" w:rsidTr="00426D9F">
        <w:tc>
          <w:tcPr>
            <w:tcW w:w="3192" w:type="dxa"/>
          </w:tcPr>
          <w:p w14:paraId="62DFB659" w14:textId="77777777" w:rsidR="002A3DE3" w:rsidRPr="008047DF" w:rsidRDefault="002A3DE3" w:rsidP="00426D9F">
            <w:pPr>
              <w:pStyle w:val="normal0"/>
              <w:spacing w:line="360" w:lineRule="auto"/>
              <w:rPr>
                <w:rFonts w:ascii="Times" w:hAnsi="Times"/>
              </w:rPr>
            </w:pPr>
            <w:r w:rsidRPr="008047DF">
              <w:rPr>
                <w:rFonts w:ascii="Times" w:hAnsi="Times"/>
              </w:rPr>
              <w:t>400-MechS1</w:t>
            </w:r>
          </w:p>
        </w:tc>
        <w:tc>
          <w:tcPr>
            <w:tcW w:w="3192" w:type="dxa"/>
          </w:tcPr>
          <w:p w14:paraId="3B635969" w14:textId="77777777" w:rsidR="002A3DE3" w:rsidRPr="008047DF" w:rsidRDefault="002A3DE3" w:rsidP="00426D9F">
            <w:pPr>
              <w:pStyle w:val="normal0"/>
              <w:spacing w:line="360" w:lineRule="auto"/>
              <w:rPr>
                <w:rFonts w:ascii="Times" w:hAnsi="Times"/>
              </w:rPr>
            </w:pPr>
            <w:r w:rsidRPr="008047DF">
              <w:rPr>
                <w:rFonts w:ascii="Times" w:hAnsi="Times"/>
              </w:rPr>
              <w:t>861 (850, 850, 846)</w:t>
            </w:r>
          </w:p>
        </w:tc>
        <w:tc>
          <w:tcPr>
            <w:tcW w:w="3192" w:type="dxa"/>
          </w:tcPr>
          <w:p w14:paraId="6D69EC41" w14:textId="77777777" w:rsidR="002A3DE3" w:rsidRPr="008047DF" w:rsidRDefault="002A3DE3" w:rsidP="00426D9F">
            <w:pPr>
              <w:pStyle w:val="normal0"/>
              <w:spacing w:line="360" w:lineRule="auto"/>
              <w:rPr>
                <w:rFonts w:ascii="Times" w:hAnsi="Times"/>
              </w:rPr>
            </w:pPr>
            <w:r w:rsidRPr="008047DF">
              <w:rPr>
                <w:rFonts w:ascii="Times" w:hAnsi="Times"/>
              </w:rPr>
              <w:t>832 (96.6%)</w:t>
            </w:r>
          </w:p>
        </w:tc>
      </w:tr>
      <w:tr w:rsidR="002A3DE3" w:rsidRPr="008047DF" w14:paraId="765A5D86" w14:textId="77777777" w:rsidTr="00426D9F">
        <w:tc>
          <w:tcPr>
            <w:tcW w:w="3192" w:type="dxa"/>
          </w:tcPr>
          <w:p w14:paraId="012B20F4" w14:textId="77777777" w:rsidR="002A3DE3" w:rsidRPr="008047DF" w:rsidRDefault="002A3DE3" w:rsidP="00426D9F">
            <w:pPr>
              <w:pStyle w:val="normal0"/>
              <w:spacing w:line="360" w:lineRule="auto"/>
              <w:rPr>
                <w:rFonts w:ascii="Times" w:hAnsi="Times"/>
              </w:rPr>
            </w:pPr>
            <w:r w:rsidRPr="008047DF">
              <w:rPr>
                <w:rFonts w:ascii="Times" w:hAnsi="Times"/>
              </w:rPr>
              <w:t>400-MechS2</w:t>
            </w:r>
          </w:p>
        </w:tc>
        <w:tc>
          <w:tcPr>
            <w:tcW w:w="3192" w:type="dxa"/>
          </w:tcPr>
          <w:p w14:paraId="6E9BE5D6" w14:textId="77777777" w:rsidR="002A3DE3" w:rsidRPr="008047DF" w:rsidRDefault="002A3DE3" w:rsidP="00426D9F">
            <w:pPr>
              <w:pStyle w:val="normal0"/>
              <w:spacing w:line="360" w:lineRule="auto"/>
              <w:rPr>
                <w:rFonts w:ascii="Times" w:hAnsi="Times"/>
              </w:rPr>
            </w:pPr>
            <w:r w:rsidRPr="008047DF">
              <w:rPr>
                <w:rFonts w:ascii="Times" w:hAnsi="Times"/>
              </w:rPr>
              <w:t>815 (803, 806, 801)</w:t>
            </w:r>
          </w:p>
        </w:tc>
        <w:tc>
          <w:tcPr>
            <w:tcW w:w="3192" w:type="dxa"/>
          </w:tcPr>
          <w:p w14:paraId="6DCD4198" w14:textId="77777777" w:rsidR="002A3DE3" w:rsidRPr="008047DF" w:rsidRDefault="002A3DE3" w:rsidP="00426D9F">
            <w:pPr>
              <w:pStyle w:val="normal0"/>
              <w:spacing w:line="360" w:lineRule="auto"/>
              <w:rPr>
                <w:rFonts w:ascii="Times" w:hAnsi="Times"/>
              </w:rPr>
            </w:pPr>
            <w:r w:rsidRPr="008047DF">
              <w:rPr>
                <w:rFonts w:ascii="Times" w:hAnsi="Times"/>
              </w:rPr>
              <w:t>788 (96.7%)</w:t>
            </w:r>
          </w:p>
        </w:tc>
      </w:tr>
      <w:tr w:rsidR="002A3DE3" w:rsidRPr="008047DF" w14:paraId="11CD1305" w14:textId="77777777" w:rsidTr="00426D9F">
        <w:tc>
          <w:tcPr>
            <w:tcW w:w="3192" w:type="dxa"/>
          </w:tcPr>
          <w:p w14:paraId="03C2E0E2" w14:textId="77777777" w:rsidR="002A3DE3" w:rsidRPr="008047DF" w:rsidRDefault="002A3DE3" w:rsidP="00426D9F">
            <w:pPr>
              <w:pStyle w:val="normal0"/>
              <w:spacing w:line="360" w:lineRule="auto"/>
              <w:rPr>
                <w:rFonts w:ascii="Times" w:hAnsi="Times"/>
              </w:rPr>
            </w:pPr>
            <w:r w:rsidRPr="008047DF">
              <w:rPr>
                <w:rFonts w:ascii="Times" w:hAnsi="Times"/>
              </w:rPr>
              <w:t>400-MechS3</w:t>
            </w:r>
          </w:p>
        </w:tc>
        <w:tc>
          <w:tcPr>
            <w:tcW w:w="3192" w:type="dxa"/>
          </w:tcPr>
          <w:p w14:paraId="6639F3AC" w14:textId="77777777" w:rsidR="002A3DE3" w:rsidRPr="008047DF" w:rsidRDefault="002A3DE3" w:rsidP="00426D9F">
            <w:pPr>
              <w:pStyle w:val="normal0"/>
              <w:spacing w:line="360" w:lineRule="auto"/>
              <w:rPr>
                <w:rFonts w:ascii="Times" w:hAnsi="Times"/>
              </w:rPr>
            </w:pPr>
            <w:r w:rsidRPr="008047DF">
              <w:rPr>
                <w:rFonts w:ascii="Times" w:hAnsi="Times"/>
              </w:rPr>
              <w:t>854 (840, 848, 841)</w:t>
            </w:r>
          </w:p>
        </w:tc>
        <w:tc>
          <w:tcPr>
            <w:tcW w:w="3192" w:type="dxa"/>
          </w:tcPr>
          <w:p w14:paraId="584608D1" w14:textId="77777777" w:rsidR="002A3DE3" w:rsidRPr="008047DF" w:rsidRDefault="002A3DE3" w:rsidP="00426D9F">
            <w:pPr>
              <w:pStyle w:val="normal0"/>
              <w:spacing w:line="360" w:lineRule="auto"/>
              <w:rPr>
                <w:rFonts w:ascii="Times" w:hAnsi="Times"/>
              </w:rPr>
            </w:pPr>
            <w:r w:rsidRPr="008047DF">
              <w:rPr>
                <w:rFonts w:ascii="Times" w:hAnsi="Times"/>
              </w:rPr>
              <w:t>826 (96.7%)</w:t>
            </w:r>
          </w:p>
        </w:tc>
      </w:tr>
      <w:tr w:rsidR="002A3DE3" w:rsidRPr="008047DF" w14:paraId="23ECE42D" w14:textId="77777777" w:rsidTr="00426D9F">
        <w:tc>
          <w:tcPr>
            <w:tcW w:w="3192" w:type="dxa"/>
          </w:tcPr>
          <w:p w14:paraId="035F592C" w14:textId="77777777" w:rsidR="002A3DE3" w:rsidRPr="008047DF" w:rsidRDefault="002A3DE3" w:rsidP="00426D9F">
            <w:pPr>
              <w:pStyle w:val="normal0"/>
              <w:spacing w:line="360" w:lineRule="auto"/>
              <w:rPr>
                <w:rFonts w:ascii="Times" w:hAnsi="Times"/>
              </w:rPr>
            </w:pPr>
            <w:r w:rsidRPr="008047DF">
              <w:rPr>
                <w:rFonts w:ascii="Times" w:hAnsi="Times"/>
              </w:rPr>
              <w:t>400-MechS4</w:t>
            </w:r>
          </w:p>
        </w:tc>
        <w:tc>
          <w:tcPr>
            <w:tcW w:w="3192" w:type="dxa"/>
          </w:tcPr>
          <w:p w14:paraId="7BECA2DB" w14:textId="77777777" w:rsidR="002A3DE3" w:rsidRPr="008047DF" w:rsidRDefault="002A3DE3" w:rsidP="00426D9F">
            <w:pPr>
              <w:pStyle w:val="normal0"/>
              <w:spacing w:line="360" w:lineRule="auto"/>
              <w:rPr>
                <w:rFonts w:ascii="Times" w:hAnsi="Times"/>
              </w:rPr>
            </w:pPr>
            <w:r w:rsidRPr="008047DF">
              <w:rPr>
                <w:rFonts w:ascii="Times" w:hAnsi="Times"/>
              </w:rPr>
              <w:t>862 (842, 850, 848)</w:t>
            </w:r>
          </w:p>
        </w:tc>
        <w:tc>
          <w:tcPr>
            <w:tcW w:w="3192" w:type="dxa"/>
          </w:tcPr>
          <w:p w14:paraId="40309C67" w14:textId="77777777" w:rsidR="002A3DE3" w:rsidRPr="008047DF" w:rsidRDefault="002A3DE3" w:rsidP="00426D9F">
            <w:pPr>
              <w:pStyle w:val="normal0"/>
              <w:spacing w:line="360" w:lineRule="auto"/>
              <w:rPr>
                <w:rFonts w:ascii="Times" w:hAnsi="Times"/>
              </w:rPr>
            </w:pPr>
            <w:r w:rsidRPr="008047DF">
              <w:rPr>
                <w:rFonts w:ascii="Times" w:hAnsi="Times"/>
              </w:rPr>
              <w:t>825 (95.9%)</w:t>
            </w:r>
          </w:p>
        </w:tc>
      </w:tr>
      <w:tr w:rsidR="002A3DE3" w:rsidRPr="008047DF" w14:paraId="5D764773" w14:textId="77777777" w:rsidTr="00426D9F">
        <w:tc>
          <w:tcPr>
            <w:tcW w:w="3192" w:type="dxa"/>
          </w:tcPr>
          <w:p w14:paraId="51FA5422" w14:textId="77777777" w:rsidR="002A3DE3" w:rsidRPr="008047DF" w:rsidRDefault="002A3DE3" w:rsidP="00426D9F">
            <w:pPr>
              <w:pStyle w:val="normal0"/>
              <w:spacing w:line="360" w:lineRule="auto"/>
              <w:rPr>
                <w:rFonts w:ascii="Times" w:hAnsi="Times"/>
              </w:rPr>
            </w:pPr>
            <w:r w:rsidRPr="008047DF">
              <w:rPr>
                <w:rFonts w:ascii="Times" w:hAnsi="Times"/>
              </w:rPr>
              <w:t>2800-1</w:t>
            </w:r>
          </w:p>
        </w:tc>
        <w:tc>
          <w:tcPr>
            <w:tcW w:w="3192" w:type="dxa"/>
          </w:tcPr>
          <w:p w14:paraId="0B7A88A0" w14:textId="77777777" w:rsidR="002A3DE3" w:rsidRPr="008047DF" w:rsidRDefault="002A3DE3" w:rsidP="00426D9F">
            <w:pPr>
              <w:pStyle w:val="normal0"/>
              <w:spacing w:line="360" w:lineRule="auto"/>
              <w:rPr>
                <w:rFonts w:ascii="Times" w:hAnsi="Times"/>
              </w:rPr>
            </w:pPr>
            <w:r w:rsidRPr="008047DF">
              <w:rPr>
                <w:rFonts w:ascii="Times" w:hAnsi="Times"/>
              </w:rPr>
              <w:t>873 (854, 858, 856)</w:t>
            </w:r>
          </w:p>
        </w:tc>
        <w:tc>
          <w:tcPr>
            <w:tcW w:w="3192" w:type="dxa"/>
          </w:tcPr>
          <w:p w14:paraId="76D827A8" w14:textId="77777777" w:rsidR="002A3DE3" w:rsidRPr="008047DF" w:rsidRDefault="002A3DE3" w:rsidP="00426D9F">
            <w:pPr>
              <w:pStyle w:val="normal0"/>
              <w:spacing w:line="360" w:lineRule="auto"/>
              <w:rPr>
                <w:rFonts w:ascii="Times" w:hAnsi="Times"/>
              </w:rPr>
            </w:pPr>
            <w:r w:rsidRPr="008047DF">
              <w:rPr>
                <w:rFonts w:ascii="Times" w:hAnsi="Times"/>
              </w:rPr>
              <w:t>837 (95.9%)</w:t>
            </w:r>
          </w:p>
        </w:tc>
      </w:tr>
      <w:tr w:rsidR="002A3DE3" w:rsidRPr="008047DF" w14:paraId="0782593C" w14:textId="77777777" w:rsidTr="00426D9F">
        <w:tc>
          <w:tcPr>
            <w:tcW w:w="3192" w:type="dxa"/>
          </w:tcPr>
          <w:p w14:paraId="1D9FE484" w14:textId="77777777" w:rsidR="002A3DE3" w:rsidRPr="008047DF" w:rsidRDefault="002A3DE3" w:rsidP="00426D9F">
            <w:pPr>
              <w:pStyle w:val="normal0"/>
              <w:spacing w:line="360" w:lineRule="auto"/>
              <w:rPr>
                <w:rFonts w:ascii="Times" w:hAnsi="Times"/>
              </w:rPr>
            </w:pPr>
            <w:r w:rsidRPr="008047DF">
              <w:rPr>
                <w:rFonts w:ascii="Times" w:hAnsi="Times"/>
              </w:rPr>
              <w:t xml:space="preserve">2800-2 </w:t>
            </w:r>
          </w:p>
        </w:tc>
        <w:tc>
          <w:tcPr>
            <w:tcW w:w="3192" w:type="dxa"/>
          </w:tcPr>
          <w:p w14:paraId="1A0E5859" w14:textId="77777777" w:rsidR="002A3DE3" w:rsidRPr="008047DF" w:rsidRDefault="002A3DE3" w:rsidP="00426D9F">
            <w:pPr>
              <w:pStyle w:val="normal0"/>
              <w:spacing w:line="360" w:lineRule="auto"/>
              <w:rPr>
                <w:rFonts w:ascii="Times" w:hAnsi="Times"/>
              </w:rPr>
            </w:pPr>
            <w:r w:rsidRPr="008047DF">
              <w:rPr>
                <w:rFonts w:ascii="Times" w:hAnsi="Times"/>
              </w:rPr>
              <w:t>924 (910, 917, 910)</w:t>
            </w:r>
          </w:p>
        </w:tc>
        <w:tc>
          <w:tcPr>
            <w:tcW w:w="3192" w:type="dxa"/>
          </w:tcPr>
          <w:p w14:paraId="3360113E" w14:textId="77777777" w:rsidR="002A3DE3" w:rsidRPr="008047DF" w:rsidRDefault="002A3DE3" w:rsidP="00426D9F">
            <w:pPr>
              <w:pStyle w:val="normal0"/>
              <w:spacing w:line="360" w:lineRule="auto"/>
              <w:rPr>
                <w:rFonts w:ascii="Times" w:hAnsi="Times"/>
              </w:rPr>
            </w:pPr>
            <w:r w:rsidRPr="008047DF">
              <w:rPr>
                <w:rFonts w:ascii="Times" w:hAnsi="Times"/>
              </w:rPr>
              <w:t>894 (96.8%)</w:t>
            </w:r>
          </w:p>
        </w:tc>
      </w:tr>
      <w:tr w:rsidR="002A3DE3" w:rsidRPr="008047DF" w14:paraId="7A8D7C5D" w14:textId="77777777" w:rsidTr="00426D9F">
        <w:tc>
          <w:tcPr>
            <w:tcW w:w="3192" w:type="dxa"/>
          </w:tcPr>
          <w:p w14:paraId="2EA600E1" w14:textId="77777777" w:rsidR="002A3DE3" w:rsidRPr="008047DF" w:rsidRDefault="002A3DE3" w:rsidP="00426D9F">
            <w:pPr>
              <w:pStyle w:val="normal0"/>
              <w:spacing w:line="360" w:lineRule="auto"/>
              <w:rPr>
                <w:rFonts w:ascii="Times" w:hAnsi="Times"/>
              </w:rPr>
            </w:pPr>
            <w:r w:rsidRPr="008047DF">
              <w:rPr>
                <w:rFonts w:ascii="Times" w:hAnsi="Times"/>
              </w:rPr>
              <w:t>2800-3</w:t>
            </w:r>
          </w:p>
        </w:tc>
        <w:tc>
          <w:tcPr>
            <w:tcW w:w="3192" w:type="dxa"/>
          </w:tcPr>
          <w:p w14:paraId="317C866A" w14:textId="77777777" w:rsidR="002A3DE3" w:rsidRPr="008047DF" w:rsidRDefault="002A3DE3" w:rsidP="00426D9F">
            <w:pPr>
              <w:pStyle w:val="normal0"/>
              <w:spacing w:line="360" w:lineRule="auto"/>
              <w:rPr>
                <w:rFonts w:ascii="Times" w:hAnsi="Times"/>
              </w:rPr>
            </w:pPr>
            <w:r w:rsidRPr="008047DF">
              <w:rPr>
                <w:rFonts w:ascii="Times" w:hAnsi="Times"/>
              </w:rPr>
              <w:t>901 (888, 884, 893)</w:t>
            </w:r>
          </w:p>
        </w:tc>
        <w:tc>
          <w:tcPr>
            <w:tcW w:w="3192" w:type="dxa"/>
          </w:tcPr>
          <w:p w14:paraId="113D5FB6" w14:textId="77777777" w:rsidR="002A3DE3" w:rsidRPr="008047DF" w:rsidRDefault="002A3DE3" w:rsidP="00426D9F">
            <w:pPr>
              <w:pStyle w:val="normal0"/>
              <w:spacing w:line="360" w:lineRule="auto"/>
              <w:rPr>
                <w:rFonts w:ascii="Times" w:hAnsi="Times"/>
              </w:rPr>
            </w:pPr>
            <w:r w:rsidRPr="008047DF">
              <w:rPr>
                <w:rFonts w:ascii="Times" w:hAnsi="Times"/>
              </w:rPr>
              <w:t>871 (96.7%)</w:t>
            </w:r>
          </w:p>
        </w:tc>
      </w:tr>
      <w:tr w:rsidR="002A3DE3" w:rsidRPr="008047DF" w14:paraId="145C1294" w14:textId="77777777" w:rsidTr="00426D9F">
        <w:tc>
          <w:tcPr>
            <w:tcW w:w="3192" w:type="dxa"/>
          </w:tcPr>
          <w:p w14:paraId="20E90548" w14:textId="77777777" w:rsidR="002A3DE3" w:rsidRPr="008047DF" w:rsidRDefault="002A3DE3" w:rsidP="00426D9F">
            <w:pPr>
              <w:pStyle w:val="normal0"/>
              <w:spacing w:line="360" w:lineRule="auto"/>
              <w:rPr>
                <w:rFonts w:ascii="Times" w:hAnsi="Times"/>
              </w:rPr>
            </w:pPr>
            <w:r w:rsidRPr="008047DF">
              <w:rPr>
                <w:rFonts w:ascii="Times" w:hAnsi="Times"/>
              </w:rPr>
              <w:t>2800-4</w:t>
            </w:r>
          </w:p>
        </w:tc>
        <w:tc>
          <w:tcPr>
            <w:tcW w:w="3192" w:type="dxa"/>
          </w:tcPr>
          <w:p w14:paraId="267C5A9F" w14:textId="77777777" w:rsidR="002A3DE3" w:rsidRPr="008047DF" w:rsidRDefault="002A3DE3" w:rsidP="00426D9F">
            <w:pPr>
              <w:pStyle w:val="normal0"/>
              <w:spacing w:line="360" w:lineRule="auto"/>
              <w:rPr>
                <w:rFonts w:ascii="Times" w:hAnsi="Times"/>
              </w:rPr>
            </w:pPr>
            <w:r w:rsidRPr="008047DF">
              <w:rPr>
                <w:rFonts w:ascii="Times" w:hAnsi="Times"/>
              </w:rPr>
              <w:t>874 (861, 866, 865)</w:t>
            </w:r>
          </w:p>
        </w:tc>
        <w:tc>
          <w:tcPr>
            <w:tcW w:w="3192" w:type="dxa"/>
          </w:tcPr>
          <w:p w14:paraId="0BAD59D6" w14:textId="77777777" w:rsidR="002A3DE3" w:rsidRPr="008047DF" w:rsidRDefault="002A3DE3" w:rsidP="00426D9F">
            <w:pPr>
              <w:pStyle w:val="normal0"/>
              <w:spacing w:line="360" w:lineRule="auto"/>
              <w:rPr>
                <w:rFonts w:ascii="Times" w:hAnsi="Times"/>
              </w:rPr>
            </w:pPr>
            <w:r w:rsidRPr="008047DF">
              <w:rPr>
                <w:rFonts w:ascii="Times" w:hAnsi="Times"/>
              </w:rPr>
              <w:t>849 (97.1%)</w:t>
            </w:r>
          </w:p>
        </w:tc>
      </w:tr>
      <w:tr w:rsidR="002A3DE3" w:rsidRPr="008047DF" w14:paraId="4CFC6EC7" w14:textId="77777777" w:rsidTr="00426D9F">
        <w:tc>
          <w:tcPr>
            <w:tcW w:w="3192" w:type="dxa"/>
          </w:tcPr>
          <w:p w14:paraId="2B417535" w14:textId="77777777" w:rsidR="002A3DE3" w:rsidRPr="008047DF" w:rsidRDefault="002A3DE3" w:rsidP="00426D9F">
            <w:pPr>
              <w:pStyle w:val="normal0"/>
              <w:spacing w:line="360" w:lineRule="auto"/>
              <w:rPr>
                <w:rFonts w:ascii="Times" w:hAnsi="Times"/>
              </w:rPr>
            </w:pPr>
            <w:r w:rsidRPr="008047DF">
              <w:rPr>
                <w:rFonts w:ascii="Times" w:hAnsi="Times"/>
              </w:rPr>
              <w:t>2800-MechS1</w:t>
            </w:r>
          </w:p>
        </w:tc>
        <w:tc>
          <w:tcPr>
            <w:tcW w:w="3192" w:type="dxa"/>
          </w:tcPr>
          <w:p w14:paraId="093A4A00" w14:textId="77777777" w:rsidR="002A3DE3" w:rsidRPr="008047DF" w:rsidRDefault="002A3DE3" w:rsidP="00426D9F">
            <w:pPr>
              <w:pStyle w:val="normal0"/>
              <w:spacing w:line="360" w:lineRule="auto"/>
              <w:rPr>
                <w:rFonts w:ascii="Times" w:hAnsi="Times"/>
              </w:rPr>
            </w:pPr>
            <w:r w:rsidRPr="008047DF">
              <w:rPr>
                <w:rFonts w:ascii="Times" w:hAnsi="Times"/>
              </w:rPr>
              <w:t>889 (877, 878, 879)</w:t>
            </w:r>
          </w:p>
        </w:tc>
        <w:tc>
          <w:tcPr>
            <w:tcW w:w="3192" w:type="dxa"/>
          </w:tcPr>
          <w:p w14:paraId="1C358A04" w14:textId="77777777" w:rsidR="002A3DE3" w:rsidRPr="008047DF" w:rsidRDefault="002A3DE3" w:rsidP="00426D9F">
            <w:pPr>
              <w:pStyle w:val="normal0"/>
              <w:spacing w:line="360" w:lineRule="auto"/>
              <w:rPr>
                <w:rFonts w:ascii="Times" w:hAnsi="Times"/>
              </w:rPr>
            </w:pPr>
            <w:r w:rsidRPr="008047DF">
              <w:rPr>
                <w:rFonts w:ascii="Times" w:hAnsi="Times"/>
              </w:rPr>
              <w:t>858 (96.5%)</w:t>
            </w:r>
          </w:p>
        </w:tc>
      </w:tr>
      <w:tr w:rsidR="002A3DE3" w:rsidRPr="008047DF" w14:paraId="228AF244" w14:textId="77777777" w:rsidTr="00426D9F">
        <w:tc>
          <w:tcPr>
            <w:tcW w:w="3192" w:type="dxa"/>
          </w:tcPr>
          <w:p w14:paraId="0B32B265" w14:textId="77777777" w:rsidR="002A3DE3" w:rsidRPr="008047DF" w:rsidRDefault="002A3DE3" w:rsidP="00426D9F">
            <w:pPr>
              <w:pStyle w:val="normal0"/>
              <w:spacing w:line="360" w:lineRule="auto"/>
              <w:rPr>
                <w:rFonts w:ascii="Times" w:hAnsi="Times"/>
              </w:rPr>
            </w:pPr>
            <w:r w:rsidRPr="008047DF">
              <w:rPr>
                <w:rFonts w:ascii="Times" w:hAnsi="Times"/>
              </w:rPr>
              <w:t>2800-MechS2</w:t>
            </w:r>
          </w:p>
        </w:tc>
        <w:tc>
          <w:tcPr>
            <w:tcW w:w="3192" w:type="dxa"/>
          </w:tcPr>
          <w:p w14:paraId="32F287F6" w14:textId="77777777" w:rsidR="002A3DE3" w:rsidRPr="008047DF" w:rsidRDefault="002A3DE3" w:rsidP="00426D9F">
            <w:pPr>
              <w:pStyle w:val="normal0"/>
              <w:spacing w:line="360" w:lineRule="auto"/>
              <w:rPr>
                <w:rFonts w:ascii="Times" w:hAnsi="Times"/>
              </w:rPr>
            </w:pPr>
            <w:r w:rsidRPr="008047DF">
              <w:rPr>
                <w:rFonts w:ascii="Times" w:hAnsi="Times"/>
              </w:rPr>
              <w:t>891 (886, 876, 880)</w:t>
            </w:r>
          </w:p>
        </w:tc>
        <w:tc>
          <w:tcPr>
            <w:tcW w:w="3192" w:type="dxa"/>
          </w:tcPr>
          <w:p w14:paraId="1D56B5D8" w14:textId="77777777" w:rsidR="002A3DE3" w:rsidRPr="008047DF" w:rsidRDefault="002A3DE3" w:rsidP="00426D9F">
            <w:pPr>
              <w:pStyle w:val="normal0"/>
              <w:spacing w:line="360" w:lineRule="auto"/>
              <w:rPr>
                <w:rFonts w:ascii="Times" w:hAnsi="Times"/>
              </w:rPr>
            </w:pPr>
            <w:r w:rsidRPr="008047DF">
              <w:rPr>
                <w:rFonts w:ascii="Times" w:hAnsi="Times"/>
              </w:rPr>
              <w:t>867 (97.3%)</w:t>
            </w:r>
          </w:p>
        </w:tc>
      </w:tr>
      <w:tr w:rsidR="002A3DE3" w:rsidRPr="008047DF" w14:paraId="08698C83" w14:textId="77777777" w:rsidTr="00426D9F">
        <w:tc>
          <w:tcPr>
            <w:tcW w:w="3192" w:type="dxa"/>
          </w:tcPr>
          <w:p w14:paraId="477CE987" w14:textId="77777777" w:rsidR="002A3DE3" w:rsidRPr="008047DF" w:rsidRDefault="002A3DE3" w:rsidP="00426D9F">
            <w:pPr>
              <w:pStyle w:val="normal0"/>
              <w:spacing w:line="360" w:lineRule="auto"/>
              <w:rPr>
                <w:rFonts w:ascii="Times" w:hAnsi="Times"/>
              </w:rPr>
            </w:pPr>
            <w:r w:rsidRPr="008047DF">
              <w:rPr>
                <w:rFonts w:ascii="Times" w:hAnsi="Times"/>
              </w:rPr>
              <w:t>2800-MechS3</w:t>
            </w:r>
          </w:p>
        </w:tc>
        <w:tc>
          <w:tcPr>
            <w:tcW w:w="3192" w:type="dxa"/>
          </w:tcPr>
          <w:p w14:paraId="1E17BD2E" w14:textId="77777777" w:rsidR="002A3DE3" w:rsidRPr="008047DF" w:rsidRDefault="002A3DE3" w:rsidP="00426D9F">
            <w:pPr>
              <w:pStyle w:val="normal0"/>
              <w:spacing w:line="360" w:lineRule="auto"/>
              <w:rPr>
                <w:rFonts w:ascii="Times" w:hAnsi="Times"/>
              </w:rPr>
            </w:pPr>
            <w:r w:rsidRPr="008047DF">
              <w:rPr>
                <w:rFonts w:ascii="Times" w:hAnsi="Times"/>
              </w:rPr>
              <w:t>867 (860, 859, 856)</w:t>
            </w:r>
          </w:p>
        </w:tc>
        <w:tc>
          <w:tcPr>
            <w:tcW w:w="3192" w:type="dxa"/>
          </w:tcPr>
          <w:p w14:paraId="0FC15F16" w14:textId="77777777" w:rsidR="002A3DE3" w:rsidRPr="008047DF" w:rsidRDefault="002A3DE3" w:rsidP="00426D9F">
            <w:pPr>
              <w:pStyle w:val="normal0"/>
              <w:spacing w:line="360" w:lineRule="auto"/>
              <w:rPr>
                <w:rFonts w:ascii="Times" w:hAnsi="Times"/>
              </w:rPr>
            </w:pPr>
            <w:r w:rsidRPr="008047DF">
              <w:rPr>
                <w:rFonts w:ascii="Times" w:hAnsi="Times"/>
              </w:rPr>
              <w:t>844 (97.3%)</w:t>
            </w:r>
          </w:p>
        </w:tc>
      </w:tr>
      <w:tr w:rsidR="002A3DE3" w:rsidRPr="008047DF" w14:paraId="3526D61D" w14:textId="77777777" w:rsidTr="00426D9F">
        <w:tc>
          <w:tcPr>
            <w:tcW w:w="3192" w:type="dxa"/>
          </w:tcPr>
          <w:p w14:paraId="544035EF" w14:textId="77777777" w:rsidR="002A3DE3" w:rsidRPr="008047DF" w:rsidRDefault="002A3DE3" w:rsidP="00426D9F">
            <w:pPr>
              <w:pStyle w:val="normal0"/>
              <w:spacing w:line="360" w:lineRule="auto"/>
              <w:rPr>
                <w:rFonts w:ascii="Times" w:hAnsi="Times"/>
              </w:rPr>
            </w:pPr>
            <w:r w:rsidRPr="008047DF">
              <w:rPr>
                <w:rFonts w:ascii="Times" w:hAnsi="Times"/>
              </w:rPr>
              <w:t>2800-MechS4</w:t>
            </w:r>
          </w:p>
        </w:tc>
        <w:tc>
          <w:tcPr>
            <w:tcW w:w="3192" w:type="dxa"/>
          </w:tcPr>
          <w:p w14:paraId="3E620271" w14:textId="77777777" w:rsidR="002A3DE3" w:rsidRPr="008047DF" w:rsidRDefault="002A3DE3" w:rsidP="00426D9F">
            <w:pPr>
              <w:pStyle w:val="normal0"/>
              <w:spacing w:line="360" w:lineRule="auto"/>
              <w:rPr>
                <w:rFonts w:ascii="Times" w:hAnsi="Times"/>
              </w:rPr>
            </w:pPr>
            <w:r w:rsidRPr="008047DF">
              <w:rPr>
                <w:rFonts w:ascii="Times" w:hAnsi="Times"/>
              </w:rPr>
              <w:t>941 (923, 925, 929)</w:t>
            </w:r>
          </w:p>
        </w:tc>
        <w:tc>
          <w:tcPr>
            <w:tcW w:w="3192" w:type="dxa"/>
          </w:tcPr>
          <w:p w14:paraId="5104831D" w14:textId="77777777" w:rsidR="002A3DE3" w:rsidRPr="008047DF" w:rsidRDefault="002A3DE3" w:rsidP="00426D9F">
            <w:pPr>
              <w:pStyle w:val="normal0"/>
              <w:spacing w:line="360" w:lineRule="auto"/>
              <w:rPr>
                <w:rFonts w:ascii="Times" w:hAnsi="Times"/>
              </w:rPr>
            </w:pPr>
            <w:r w:rsidRPr="008047DF">
              <w:rPr>
                <w:rFonts w:ascii="Times" w:hAnsi="Times"/>
              </w:rPr>
              <w:t>905 (96.2%)</w:t>
            </w:r>
          </w:p>
        </w:tc>
      </w:tr>
    </w:tbl>
    <w:p w14:paraId="52C6C9E2" w14:textId="77777777" w:rsidR="002A3DE3" w:rsidRDefault="002A3DE3" w:rsidP="002A3DE3">
      <w:pPr>
        <w:rPr>
          <w:rFonts w:ascii="Times" w:hAnsi="Times"/>
        </w:rPr>
      </w:pPr>
    </w:p>
    <w:p w14:paraId="2DF0E390" w14:textId="4948A8C3" w:rsidR="002A3DE3" w:rsidRDefault="00295E93" w:rsidP="002A3DE3">
      <w:pPr>
        <w:rPr>
          <w:rFonts w:ascii="Times" w:hAnsi="Times"/>
        </w:rPr>
      </w:pPr>
      <w:r>
        <w:rPr>
          <w:rFonts w:ascii="Times" w:hAnsi="Times"/>
          <w:noProof/>
          <w:lang w:eastAsia="en-US"/>
        </w:rPr>
        <w:drawing>
          <wp:inline distT="0" distB="0" distL="0" distR="0" wp14:anchorId="037F2818" wp14:editId="2846C54C">
            <wp:extent cx="5486400" cy="1902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33">
                      <a:extLst>
                        <a:ext uri="{28A0092B-C50C-407E-A947-70E740481C1C}">
                          <a14:useLocalDpi xmlns:a14="http://schemas.microsoft.com/office/drawing/2010/main" val="0"/>
                        </a:ext>
                      </a:extLst>
                    </a:blip>
                    <a:stretch>
                      <a:fillRect/>
                    </a:stretch>
                  </pic:blipFill>
                  <pic:spPr>
                    <a:xfrm>
                      <a:off x="0" y="0"/>
                      <a:ext cx="5486400" cy="1902460"/>
                    </a:xfrm>
                    <a:prstGeom prst="rect">
                      <a:avLst/>
                    </a:prstGeom>
                  </pic:spPr>
                </pic:pic>
              </a:graphicData>
            </a:graphic>
          </wp:inline>
        </w:drawing>
      </w:r>
    </w:p>
    <w:p w14:paraId="16AC2736" w14:textId="2853F266" w:rsidR="002A3DE3" w:rsidRDefault="002A3DE3" w:rsidP="002A3DE3">
      <w:pPr>
        <w:rPr>
          <w:rFonts w:ascii="Times" w:hAnsi="Times"/>
        </w:rPr>
      </w:pPr>
      <w:r>
        <w:rPr>
          <w:rFonts w:ascii="Times" w:hAnsi="Times"/>
        </w:rPr>
        <w:t xml:space="preserve">Figure </w:t>
      </w:r>
      <w:r w:rsidR="00295E93">
        <w:rPr>
          <w:rFonts w:ascii="Times" w:hAnsi="Times"/>
        </w:rPr>
        <w:t>III.</w:t>
      </w:r>
      <w:r>
        <w:rPr>
          <w:rFonts w:ascii="Times" w:hAnsi="Times"/>
        </w:rPr>
        <w:t xml:space="preserve">4.  </w:t>
      </w:r>
      <w:r w:rsidRPr="00A51D89">
        <w:rPr>
          <w:rFonts w:ascii="Times" w:hAnsi="Times"/>
          <w:b/>
        </w:rPr>
        <w:t>Characterization of</w:t>
      </w:r>
      <w:r w:rsidRPr="00A51D89">
        <w:rPr>
          <w:rFonts w:ascii="Times" w:hAnsi="Times"/>
        </w:rPr>
        <w:t xml:space="preserve"> </w:t>
      </w:r>
      <w:r w:rsidRPr="00A51D89">
        <w:rPr>
          <w:rFonts w:ascii="Times" w:hAnsi="Times"/>
          <w:b/>
        </w:rPr>
        <w:t>protein expression values (</w:t>
      </w:r>
      <w:proofErr w:type="gramStart"/>
      <w:r w:rsidRPr="00A51D89">
        <w:rPr>
          <w:rFonts w:ascii="Times" w:hAnsi="Times"/>
          <w:b/>
        </w:rPr>
        <w:t>log(</w:t>
      </w:r>
      <w:proofErr w:type="gramEnd"/>
      <w:r w:rsidRPr="00A51D89">
        <w:rPr>
          <w:rFonts w:ascii="Times" w:hAnsi="Times"/>
          <w:b/>
        </w:rPr>
        <w:t>[normalized spectral abundance factor]*10000)) for experiments designed to examine the influence of ocean acidification (A), mechanical stress at 400 µatm (B), and mechanical stress at 2800 µatm (C).</w:t>
      </w:r>
    </w:p>
    <w:p w14:paraId="44653257" w14:textId="77777777" w:rsidR="002A3DE3" w:rsidRDefault="002A3DE3" w:rsidP="002A3DE3">
      <w:pPr>
        <w:rPr>
          <w:rFonts w:ascii="Times" w:hAnsi="Times"/>
        </w:rPr>
      </w:pPr>
    </w:p>
    <w:p w14:paraId="53BA6831" w14:textId="7CB830B0"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The magnitude of the proteomic responses in the three different between-treatment comparisons was similar (245-286 differentially expressed proteins), though many proteins were treatment specific (Figure </w:t>
      </w:r>
      <w:r w:rsidR="00AC2902">
        <w:rPr>
          <w:rFonts w:ascii="Times" w:hAnsi="Times"/>
          <w:sz w:val="24"/>
        </w:rPr>
        <w:t>III.</w:t>
      </w:r>
      <w:r w:rsidRPr="00264A18">
        <w:rPr>
          <w:rFonts w:ascii="Times" w:hAnsi="Times"/>
          <w:sz w:val="24"/>
        </w:rPr>
        <w:t xml:space="preserve">5).  In addition, for those proteins identified as differentially expressed in more than one comparison, the directional responses of the proteins to each treatment often diverged.   For example, proteins in carbohydrate metabolism and nucleotide metabolism were affected differently across treatments (Figure </w:t>
      </w:r>
      <w:r w:rsidR="00AC2902">
        <w:rPr>
          <w:rFonts w:ascii="Times" w:hAnsi="Times"/>
          <w:sz w:val="24"/>
        </w:rPr>
        <w:t>III.</w:t>
      </w:r>
      <w:r w:rsidRPr="00264A18">
        <w:rPr>
          <w:rFonts w:ascii="Times" w:hAnsi="Times"/>
          <w:sz w:val="24"/>
        </w:rPr>
        <w:t xml:space="preserve">S3).  These contrasting proteomic profile variations were the most dramatic in a comparison between the responses to ocean acidification alone and to mechanical stimulation at high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All 75 differentially expressed proteins shared between these two responses were expressed in opposing directions (Table </w:t>
      </w:r>
      <w:r w:rsidR="00AC2902">
        <w:rPr>
          <w:rFonts w:ascii="Times" w:hAnsi="Times"/>
          <w:sz w:val="24"/>
        </w:rPr>
        <w:t>III.</w:t>
      </w:r>
      <w:r w:rsidRPr="00264A18">
        <w:rPr>
          <w:rFonts w:ascii="Times" w:hAnsi="Times"/>
          <w:sz w:val="24"/>
        </w:rPr>
        <w:t xml:space="preserve">S3, Figures </w:t>
      </w:r>
      <w:r w:rsidR="00AC2902">
        <w:rPr>
          <w:rFonts w:ascii="Times" w:hAnsi="Times"/>
          <w:sz w:val="24"/>
        </w:rPr>
        <w:t>III.</w:t>
      </w:r>
      <w:r w:rsidRPr="00264A18">
        <w:rPr>
          <w:rFonts w:ascii="Times" w:hAnsi="Times"/>
          <w:sz w:val="24"/>
        </w:rPr>
        <w:t xml:space="preserve">S2 and </w:t>
      </w:r>
      <w:r w:rsidR="00AC2902">
        <w:rPr>
          <w:rFonts w:ascii="Times" w:hAnsi="Times"/>
          <w:sz w:val="24"/>
        </w:rPr>
        <w:t>III.</w:t>
      </w:r>
      <w:r w:rsidRPr="00264A18">
        <w:rPr>
          <w:rFonts w:ascii="Times" w:hAnsi="Times"/>
          <w:sz w:val="24"/>
        </w:rPr>
        <w:t xml:space="preserve">S3).  Many differentially expressed proteins that were common across stress responses had similar directional changes:  96% of the proteins (n = 79) in the responses to ocean acidification and to mechanical stress at low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and 76% of the proteins (n = 25) in the responses to mechanical stress at both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w:t>
      </w:r>
    </w:p>
    <w:p w14:paraId="19B0F9B2" w14:textId="313BF332" w:rsidR="00B42A60" w:rsidRPr="00264A18" w:rsidRDefault="00264A18" w:rsidP="00264A18">
      <w:pPr>
        <w:pStyle w:val="normal0"/>
        <w:spacing w:line="360" w:lineRule="auto"/>
        <w:ind w:firstLine="720"/>
        <w:rPr>
          <w:rFonts w:ascii="Times" w:hAnsi="Times"/>
          <w:sz w:val="24"/>
          <w:vertAlign w:val="subscript"/>
        </w:rPr>
      </w:pPr>
      <w:r w:rsidRPr="00264A18">
        <w:rPr>
          <w:rFonts w:ascii="Times" w:hAnsi="Times"/>
          <w:sz w:val="24"/>
        </w:rPr>
        <w:t>Forty-eight proteins were differentially expressed in response to all treatments and these represent the general proteomic stress response.  These proteins are associated with a wide range of biological processes, including carbohydrate metabolism (malectin and α-L-fucosidase), cell adhesion (neurexin-4 and cadherin-23), cytoskeleton processes (talin-1, dynein heavy chain 3, and coactosin), mRNA processing (small nuclear ribonucleoproteins and serine/arginine-rich splicing factor 6), the immune response (allograft inflammatory factor 1), polypeptide and protein degradation (aspartyl aminopeptidase, ubiquitin carboxyl-terminal hydrolase FAF-X, and insulin-degrading enzyme), the stress response (Hsp90 co-chaperone Cdc37, universal stress proteins MSMEG_3950 and A-like), and transcription and translation (nucleolar protein 56, 60S ribosomal proteins L21 and L38, and nucleosome assembly protein 1-like 1).</w:t>
      </w:r>
    </w:p>
    <w:p w14:paraId="3F1CDBBE" w14:textId="0E1DE63E" w:rsidR="00EF2726" w:rsidRPr="00EF2726" w:rsidRDefault="00EF2726" w:rsidP="00EF2726">
      <w:pPr>
        <w:pStyle w:val="normal0"/>
        <w:spacing w:line="240" w:lineRule="auto"/>
        <w:ind w:firstLine="720"/>
        <w:rPr>
          <w:rFonts w:ascii="Times" w:hAnsi="Times"/>
          <w:sz w:val="24"/>
          <w:vertAlign w:val="subscript"/>
        </w:rPr>
      </w:pPr>
    </w:p>
    <w:p w14:paraId="5EF02DE0" w14:textId="77777777" w:rsidR="00EF2726" w:rsidRDefault="00EF2726" w:rsidP="002A3DE3"/>
    <w:p w14:paraId="1E3CE5C7" w14:textId="40DFC4E0" w:rsidR="002A3DE3" w:rsidRDefault="00D03E5E" w:rsidP="002A3DE3">
      <w:r>
        <w:rPr>
          <w:noProof/>
          <w:lang w:eastAsia="en-US"/>
        </w:rPr>
        <w:drawing>
          <wp:inline distT="0" distB="0" distL="0" distR="0" wp14:anchorId="6390934C" wp14:editId="7FFEEC0E">
            <wp:extent cx="4394835" cy="339582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old venn.jpg"/>
                    <pic:cNvPicPr/>
                  </pic:nvPicPr>
                  <pic:blipFill>
                    <a:blip r:embed="rId34">
                      <a:extLst>
                        <a:ext uri="{28A0092B-C50C-407E-A947-70E740481C1C}">
                          <a14:useLocalDpi xmlns:a14="http://schemas.microsoft.com/office/drawing/2010/main" val="0"/>
                        </a:ext>
                      </a:extLst>
                    </a:blip>
                    <a:stretch>
                      <a:fillRect/>
                    </a:stretch>
                  </pic:blipFill>
                  <pic:spPr>
                    <a:xfrm>
                      <a:off x="0" y="0"/>
                      <a:ext cx="4394835" cy="3395824"/>
                    </a:xfrm>
                    <a:prstGeom prst="rect">
                      <a:avLst/>
                    </a:prstGeom>
                  </pic:spPr>
                </pic:pic>
              </a:graphicData>
            </a:graphic>
          </wp:inline>
        </w:drawing>
      </w:r>
    </w:p>
    <w:p w14:paraId="7360A5FB" w14:textId="7AE58C90" w:rsidR="002A3DE3" w:rsidRDefault="002A3DE3" w:rsidP="002A3DE3">
      <w:r>
        <w:t xml:space="preserve">Figure </w:t>
      </w:r>
      <w:r w:rsidR="00295E93">
        <w:t>III.</w:t>
      </w:r>
      <w:r>
        <w:t xml:space="preserve">5. </w:t>
      </w:r>
      <w:r w:rsidRPr="00A51D89">
        <w:rPr>
          <w:rFonts w:ascii="Times" w:hAnsi="Times"/>
          <w:b/>
        </w:rPr>
        <w:t>Differentially expressed proteins among treatments.</w:t>
      </w:r>
      <w:r w:rsidRPr="00A51D89">
        <w:rPr>
          <w:rFonts w:ascii="Times" w:hAnsi="Times"/>
        </w:rPr>
        <w:t xml:space="preserve">  The proteins represented by the solid pink ellipse were those implicated in the response to ocean acidification alone, those in the open blue ellipse are different in response to mechanical stress in the 2800 µatm-exposed oysters, and those in the striped aqua ellipse changed in response to mechanical stress at 400 µatm.  Numbers represent the number of proteins in each segment of the ellipses.</w:t>
      </w:r>
    </w:p>
    <w:p w14:paraId="5DCC955A" w14:textId="77777777" w:rsidR="002A3DE3" w:rsidRDefault="002A3DE3" w:rsidP="002A3DE3"/>
    <w:p w14:paraId="1187189E" w14:textId="77777777" w:rsidR="00C02D9B" w:rsidRDefault="00C02D9B" w:rsidP="00C02D9B">
      <w:pPr>
        <w:pStyle w:val="Heading2"/>
      </w:pPr>
      <w:bookmarkStart w:id="71" w:name="_Toc252110025"/>
      <w:r>
        <w:t>Discussion</w:t>
      </w:r>
      <w:bookmarkEnd w:id="71"/>
    </w:p>
    <w:p w14:paraId="54714493" w14:textId="77777777" w:rsidR="00C85C10" w:rsidRPr="00C85C10" w:rsidRDefault="00C85C10" w:rsidP="00C85C10"/>
    <w:p w14:paraId="675AF556" w14:textId="7777777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Ocean acidification is an on-going and global scale phenomenon that has been shown to negatively impact most taxonomic groups.  A large number of studies have characterized these negative impacts across species and life stages </w:t>
      </w:r>
      <w:r w:rsidRPr="00264A18">
        <w:rPr>
          <w:rFonts w:ascii="Times" w:hAnsi="Times"/>
          <w:sz w:val="24"/>
        </w:rPr>
        <w:fldChar w:fldCharType="begin" w:fldLock="1"/>
      </w:r>
      <w:r w:rsidRPr="00264A18">
        <w:rPr>
          <w:rFonts w:ascii="Times" w:hAnsi="Times"/>
          <w:sz w:val="24"/>
        </w:rPr>
        <w:instrText>ADDIN CSL_CITATION { "citationItems" : [ { "id" : "ITEM-1", "itemData" : { "DOI" : "10.1111/j.1461-0248.2010.01518.x", "ISSN" : "1461-0248", "PMID" : "20958904", "abstract" : "Ocean acidification is a pervasive stressor that could affect many marine organisms and cause profound ecological shifts. A variety of biological responses to ocean acidification have been measured across a range of taxa, but this information exists as case studies and has not been synthesized into meaningful comparisons amongst response variables and functional groups. We used meta-analytic techniques to explore the biological responses to ocean acidification, and found negative effects on survival, calcification, growth and reproduction. However, there was significant variation in the sensitivity of marine organisms. Calcifying organisms generally exhibited larger negative responses than non-calcifying organisms across numerous response variables, with the exception of crustaceans, which calcify but were not negatively affected. Calcification responses varied significantly amongst organisms using different mineral forms of calcium carbonate. Organisms using one of the more soluble forms of calcium carbonate (high-magnesium calcite) can be more resilient to ocean acidification than less soluble forms (calcite and aragonite). Additionally, there was variation in the sensitivities of different developmental stages, but this variation was dependent on the taxonomic group. Our analyses suggest that the biological effects of ocean acidification are generally large and negative, but the variation in sensitivity amongst organisms has important implications for ecosystem responses.", "author" : [ { "dropping-particle" : "", "family" : "Kroeker", "given" : "Kristy J", "non-dropping-particle" : "", "parse-names" : false, "suffix" : "" }, { "dropping-particle" : "", "family" : "Kordas", "given" : "Rebecca L", "non-dropping-particle" : "", "parse-names" : false, "suffix" : "" }, { "dropping-particle" : "", "family" : "Crim", "given" : "Ryan N", "non-dropping-particle" : "", "parse-names" : false, "suffix" : "" }, { "dropping-particle" : "", "family" : "Singh", "given" : "Gerald G", "non-dropping-particle" : "", "parse-names" : false, "suffix" : "" } ], "container-title" : "Ecology letters", "id" : "ITEM-1", "issue" : "11", "issued" : { "date-parts" : [ [ "2010", "11" ] ] }, "page" : "1419-34", "title" : "Meta-analysis reveals negative yet variable effects of ocean acidification on marine organisms.", "type" : "article-journal", "volume" : "13" }, "uris" : [ "http://www.mendeley.com/documents/?uuid=839656ee-b604-4174-b181-254d7f04546e" ] }, { "id" : "ITEM-2", "itemData" : { "DOI" : "10.1111/gcb.12179", "ISSN" : "1354-1013", "PMID" : "23505245", "abstract" : "Ocean acidification represents a threat to marine species worldwide, and forecasting the ecological impacts of acidification is a high priority for science, management, and policy. As research on the topic expands at an exponential rate, a comprehensive understanding of the variability in organisms' responses and corresponding levels of certainty is necessary to forecast the ecological effects. Here, we perform the most comprehensive meta-analysis to date by synthesizing the results of 228 studies examining biological responses to ocean acidification. The results reveal decreased survival, calcification, growth, development and abundance in response to acidification when the broad range of marine organisms is pooled together. However, the magnitude of these responses varies among taxonomic groups, suggesting there is some predictable trait-based variation in sensitivity, despite the investigation of approximately 100 new species in recent research. The results also reveal an enhanced sensitivity of mollusk larvae, but suggest that an enhanced sensitivity of early life history stages is not universal across all taxonomic groups. In addition, the variability in species' responses is enhanced when they are exposed to acidification in multi-species assemblages, suggesting that it is important to consider indirect effects and exercise caution when forecasting abundance patterns from single-species laboratory experiments. Furthermore, the results suggest that other factors, such as nutritional status or source population, could cause substantial variation in organisms' responses. Last, the results highlight a trend towards enhanced sensitivity to acidification when taxa are concurrently exposed to elevated seawater temperature.", "author" : [ { "dropping-particle" : "", "family" : "Kroeker", "given" : "Kristy J", "non-dropping-particle" : "", "parse-names" : false, "suffix" : "" }, { "dropping-particle" : "", "family" : "Kordas", "given" : "Rebecca L", "non-dropping-particle" : "", "parse-names" : false, "suffix" : "" }, { "dropping-particle" : "", "family" : "Crim", "given" : "Ryan", "non-dropping-particle" : "", "parse-names" : false, "suffix" : "" }, { "dropping-particle" : "", "family" : "Hendriks", "given" : "Iris E", "non-dropping-particle" : "", "parse-names" : false, "suffix" : "" }, { "dropping-particle" : "", "family" : "Ramajo", "given" : "Laura", "non-dropping-particle" : "", "parse-names" : false, "suffix" : "" }, { "dropping-particle" : "", "family" : "Singh", "given" : "Gerald S", "non-dropping-particle" : "", "parse-names" : false, "suffix" : "" }, { "dropping-particle" : "", "family" : "Duarte", "given" : "Carlos M", "non-dropping-particle" : "", "parse-names" : false, "suffix" : "" }, { "dropping-particle" : "", "family" : "Gattuso", "given" : "Jean-Pierre", "non-dropping-particle" : "", "parse-names" : false, "suffix" : "" } ], "container-title" : "Global change biology", "id" : "ITEM-2", "issue" : "6", "issued" : { "date-parts" : [ [ "2013", "6" ] ] }, "page" : "1884-96", "title" : "Impacts of ocean acidification on marine organisms: quantifying sensitivities and interaction with warming.", "type" : "article-journal", "volume" : "19" }, "uris" : [ "http://www.mendeley.com/documents/?uuid=9d0d6a8a-4e2f-4306-a797-abf3d51cb6e6" ] } ], "mendeley" : { "manualFormatting" : "(e.g. Kroeker et al., 2013; Kroeker et al., 2010)", "previouslyFormattedCitation" : "(Kroeker et al., 2013; Kroeker, Kordas, Crim, &amp; Singh, 2010)"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(e.g. Kroeker et al., 2013; Kroeker et al., 2010)</w:t>
      </w:r>
      <w:r w:rsidRPr="00264A18">
        <w:rPr>
          <w:rFonts w:ascii="Times" w:hAnsi="Times"/>
          <w:sz w:val="24"/>
        </w:rPr>
        <w:fldChar w:fldCharType="end"/>
      </w:r>
      <w:r w:rsidRPr="00264A18">
        <w:rPr>
          <w:rFonts w:ascii="Times" w:hAnsi="Times"/>
          <w:sz w:val="24"/>
        </w:rPr>
        <w:t xml:space="preserve">.  With the goal of achieving a better understanding of the effects of ocean acidification and responses to additional acute stressors across multiple physiological processes, we employed an integrative approach, combining analyses of shell micromechanical properties, fatty acids, and proteomics.  Our findings illustrate the value of using complementary approaches to explore interactions and trade-offs among different fundamental processes during environmental stress. </w:t>
      </w:r>
    </w:p>
    <w:p w14:paraId="2782CD4B" w14:textId="77777777" w:rsidR="00264A18" w:rsidRPr="00264A18" w:rsidRDefault="00264A18" w:rsidP="00264A18">
      <w:pPr>
        <w:pStyle w:val="normal0"/>
        <w:spacing w:line="360" w:lineRule="auto"/>
        <w:rPr>
          <w:rFonts w:ascii="Times" w:hAnsi="Times"/>
          <w:sz w:val="24"/>
        </w:rPr>
      </w:pPr>
    </w:p>
    <w:p w14:paraId="600A830C" w14:textId="77777777" w:rsidR="00264A18" w:rsidRPr="00264A18" w:rsidRDefault="00264A18" w:rsidP="00264A18">
      <w:pPr>
        <w:pStyle w:val="normal0"/>
        <w:spacing w:line="360" w:lineRule="auto"/>
        <w:rPr>
          <w:rFonts w:ascii="Times" w:hAnsi="Times"/>
          <w:sz w:val="24"/>
        </w:rPr>
      </w:pPr>
      <w:r w:rsidRPr="00264A18">
        <w:rPr>
          <w:rFonts w:ascii="Times" w:hAnsi="Times"/>
          <w:sz w:val="24"/>
        </w:rPr>
        <w:t xml:space="preserve"> </w:t>
      </w:r>
      <w:r w:rsidRPr="00264A18">
        <w:rPr>
          <w:rFonts w:ascii="Times" w:hAnsi="Times"/>
          <w:sz w:val="24"/>
        </w:rPr>
        <w:tab/>
        <w:t xml:space="preserve">Relative shell growth was not impacted by exposure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(800, 1000 and 2800 µatm) for one month. The lack of significant difference in growth among treatments is somewhat surprising, especially considering that calcite, the main component of adult oyster shells, was undersaturated in the 2800 µatm treatment.  Over longer exposures to ocean acidification, other bivalve species have demonstrated decreased shell growth as compared to individuals held at ambient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After six weeks, mussel (</w:t>
      </w:r>
      <w:r w:rsidRPr="00264A18">
        <w:rPr>
          <w:rFonts w:ascii="Times" w:hAnsi="Times"/>
          <w:i/>
          <w:sz w:val="24"/>
        </w:rPr>
        <w:t>Mytilus edulis</w:t>
      </w:r>
      <w:r w:rsidRPr="00264A18">
        <w:rPr>
          <w:rFonts w:ascii="Times" w:hAnsi="Times"/>
          <w:sz w:val="24"/>
        </w:rPr>
        <w:t xml:space="preserve">) shell length growth was negatively impacted by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of 2400 and 4000 µatm </w:t>
      </w:r>
      <w:r w:rsidRPr="00264A18">
        <w:rPr>
          <w:rFonts w:ascii="Times" w:hAnsi="Times"/>
          <w:sz w:val="24"/>
        </w:rPr>
        <w:fldChar w:fldCharType="begin" w:fldLock="1"/>
      </w:r>
      <w:r w:rsidRPr="00264A18">
        <w:rPr>
          <w:rFonts w:ascii="Times" w:hAnsi="Times"/>
          <w:sz w:val="24"/>
        </w:rP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"(Melzner et al., 2011)", "previouslyFormattedCitation" : "(Frank Melzner et al., 2011)"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(Melzner et al., 2011)</w:t>
      </w:r>
      <w:r w:rsidRPr="00264A18">
        <w:rPr>
          <w:rFonts w:ascii="Times" w:hAnsi="Times"/>
          <w:sz w:val="24"/>
        </w:rPr>
        <w:fldChar w:fldCharType="end"/>
      </w:r>
      <w:r w:rsidRPr="00264A18">
        <w:rPr>
          <w:rFonts w:ascii="Times" w:hAnsi="Times"/>
          <w:sz w:val="24"/>
        </w:rPr>
        <w:t xml:space="preserve">.  Juvenile oysters, </w:t>
      </w:r>
      <w:r w:rsidRPr="00264A18">
        <w:rPr>
          <w:rFonts w:ascii="Times" w:hAnsi="Times"/>
          <w:i/>
          <w:sz w:val="24"/>
        </w:rPr>
        <w:t>Crassostrea virginica</w:t>
      </w:r>
      <w:r w:rsidRPr="00264A18">
        <w:rPr>
          <w:rFonts w:ascii="Times" w:hAnsi="Times"/>
          <w:sz w:val="24"/>
        </w:rPr>
        <w:t xml:space="preserve">, also had relatively lower shell mass after 45 days at 1 665 µatm </w:t>
      </w:r>
      <w:r w:rsidRPr="00264A18">
        <w:rPr>
          <w:rFonts w:ascii="Times" w:hAnsi="Times"/>
          <w:sz w:val="24"/>
        </w:rPr>
        <w:fldChar w:fldCharType="begin" w:fldLock="1"/>
      </w:r>
      <w:r w:rsidRPr="00264A18">
        <w:rPr>
          <w:rFonts w:ascii="Times" w:hAnsi="Times"/>
          <w:sz w:val="24"/>
        </w:rPr>
        <w:instrText>ADDIN CSL_CITATION { "citationItems" : [ { "id" : "ITEM-1",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"ITEM-1",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"mendeley" : { "manualFormatting" : "(Talmage and Gobler, 2011)", "previouslyFormattedCitation" : "(Talmage &amp; Gobler, 2011)"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(Talmage and Gobler, 2011)</w:t>
      </w:r>
      <w:r w:rsidRPr="00264A18">
        <w:rPr>
          <w:rFonts w:ascii="Times" w:hAnsi="Times"/>
          <w:sz w:val="24"/>
        </w:rPr>
        <w:fldChar w:fldCharType="end"/>
      </w:r>
      <w:r w:rsidRPr="00264A18">
        <w:rPr>
          <w:rFonts w:ascii="Times" w:hAnsi="Times"/>
          <w:sz w:val="24"/>
        </w:rPr>
        <w:t xml:space="preserve"> and after a 20 week exposure at 3 523 µatm  </w:t>
      </w:r>
      <w:r w:rsidRPr="00264A18">
        <w:rPr>
          <w:rFonts w:ascii="Times" w:hAnsi="Times"/>
          <w:sz w:val="24"/>
        </w:rPr>
        <w:fldChar w:fldCharType="begin" w:fldLock="1"/>
      </w:r>
      <w:r w:rsidRPr="00264A18">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"mendeley" : { "manualFormatting" : "(Beniash et al., 2010)", "previouslyFormattedCitation" : "(Beniash, Ivanina, Lieb, Kurochkin, &amp; Sokolova, 2010)"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(Beniash et al., 2010)</w:t>
      </w:r>
      <w:r w:rsidRPr="00264A18">
        <w:rPr>
          <w:rFonts w:ascii="Times" w:hAnsi="Times"/>
          <w:sz w:val="24"/>
        </w:rPr>
        <w:fldChar w:fldCharType="end"/>
      </w:r>
      <w:r w:rsidRPr="00264A18">
        <w:rPr>
          <w:rFonts w:ascii="Times" w:hAnsi="Times"/>
          <w:sz w:val="24"/>
        </w:rPr>
        <w:t xml:space="preserve">.  Based on these data we might expect to see differences in shell growth if exposure was continued for a longer period of time.  In addition to the duration of exposure, level of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may also be an important factor in effects observed on shell growth.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may in fact prompt an over-compensation in terms of shell deposition. For instance, hard shell clams, </w:t>
      </w:r>
      <w:r w:rsidRPr="00264A18">
        <w:rPr>
          <w:rFonts w:ascii="Times" w:hAnsi="Times"/>
          <w:i/>
          <w:sz w:val="24"/>
        </w:rPr>
        <w:t>Mercenaria mercenaria</w:t>
      </w:r>
      <w:r w:rsidRPr="00264A18">
        <w:rPr>
          <w:rFonts w:ascii="Times" w:hAnsi="Times"/>
          <w:sz w:val="24"/>
        </w:rPr>
        <w:t xml:space="preserve">, had higher shell mass at moderately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(about 800 µatm) after 16 and 21 weeks of exposure, but no significant difference in shell mass between the control treatment and highly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(about 1500 µatm) was observed </w:t>
      </w:r>
      <w:r w:rsidRPr="00264A18">
        <w:rPr>
          <w:rFonts w:ascii="Times" w:hAnsi="Times"/>
          <w:sz w:val="24"/>
        </w:rPr>
        <w:fldChar w:fldCharType="begin" w:fldLock="1"/>
      </w:r>
      <w:r w:rsidRPr="00264A18">
        <w:rPr>
          <w:rFonts w:ascii="Times" w:hAnsi="Times"/>
          <w:sz w:val="24"/>
        </w:rPr>
        <w:instrText>ADDIN CSL_CITATION { "citationItems" : [ { "id" : "ITEM-1",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"ITEM-1",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2013)", "previouslyFormattedCitation" : "(Dickinson et al., 2013)"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(Dickinson et al., 2013)</w:t>
      </w:r>
      <w:r w:rsidRPr="00264A18">
        <w:rPr>
          <w:rFonts w:ascii="Times" w:hAnsi="Times"/>
          <w:sz w:val="24"/>
        </w:rPr>
        <w:fldChar w:fldCharType="end"/>
      </w:r>
      <w:r w:rsidRPr="00264A18">
        <w:rPr>
          <w:rFonts w:ascii="Times" w:hAnsi="Times"/>
          <w:sz w:val="24"/>
        </w:rPr>
        <w:t xml:space="preserve">.  At least some of the variability in the effects of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on shell growth is likely due to intra- and interspecies differences in population history of exposure to low pH events.  </w:t>
      </w:r>
    </w:p>
    <w:p w14:paraId="0E52442C" w14:textId="77777777" w:rsidR="00264A18" w:rsidRPr="00264A18" w:rsidRDefault="00264A18" w:rsidP="00264A18">
      <w:pPr>
        <w:pStyle w:val="normal0"/>
        <w:spacing w:line="360" w:lineRule="auto"/>
        <w:rPr>
          <w:rFonts w:ascii="Times" w:hAnsi="Times"/>
          <w:sz w:val="24"/>
        </w:rPr>
      </w:pPr>
    </w:p>
    <w:p w14:paraId="050DF32D" w14:textId="1E2A4A5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Given that shell growth persisted in all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treatments, we were able to perform mechanical testing on new shell that was deposited. Shell microhardness and fracture toughness were both affected by exposure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Microhardness, a measure of a material’s resistance to deformation, was reduced at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(1000 µatm) as compared to the control (400 µatm), whereas fracture toughness, a measure of the propensity for cracks to propagate within a material, was reduced only at 2800 µatm.  Both </w:t>
      </w:r>
      <w:bookmarkStart w:id="72" w:name="OLE_LINK21"/>
      <w:bookmarkStart w:id="73" w:name="OLE_LINK22"/>
      <w:r w:rsidRPr="00264A18">
        <w:rPr>
          <w:rFonts w:ascii="Times" w:hAnsi="Times"/>
          <w:sz w:val="24"/>
        </w:rPr>
        <w:t>measurements are affected by the arrangement and dimensions of the microstructures that comprise the shell</w:t>
      </w:r>
      <w:bookmarkEnd w:id="72"/>
      <w:bookmarkEnd w:id="73"/>
      <w:r w:rsidRPr="00264A18">
        <w:rPr>
          <w:rFonts w:ascii="Times" w:hAnsi="Times"/>
          <w:sz w:val="24"/>
        </w:rPr>
        <w:t xml:space="preserve"> and the extent and distribution of elastic elements within the shell (i.e. the shell organic matrix) </w:t>
      </w:r>
      <w:r w:rsidRPr="00264A18">
        <w:rPr>
          <w:rFonts w:ascii="Times" w:hAnsi="Times"/>
          <w:sz w:val="24"/>
        </w:rPr>
        <w:fldChar w:fldCharType="begin" w:fldLock="1"/>
      </w:r>
      <w:r w:rsidRPr="00264A18">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Kim, &amp; Choi, 2008)"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(Lee et al., 2008)</w:t>
      </w:r>
      <w:r w:rsidRPr="00264A18">
        <w:rPr>
          <w:rFonts w:ascii="Times" w:hAnsi="Times"/>
          <w:sz w:val="24"/>
        </w:rPr>
        <w:fldChar w:fldCharType="end"/>
      </w:r>
      <w:r w:rsidRPr="00264A18">
        <w:rPr>
          <w:rFonts w:ascii="Times" w:hAnsi="Times"/>
          <w:sz w:val="24"/>
        </w:rPr>
        <w:t xml:space="preserve">. Hence, exposure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may lead to dose-dependent differences in the structure and/or composition of newly formed shell. Such changes could result either from alterations in the physiology of shell deposition or an inability to prevent dissolution and erosion of individual microstructures under varying seawater hydrochemistry. In the current study, changes to micromechanical properties were detected at both Ω</w:t>
      </w:r>
      <w:r w:rsidRPr="00264A18">
        <w:rPr>
          <w:rFonts w:ascii="Times" w:hAnsi="Times"/>
          <w:sz w:val="24"/>
          <w:vertAlign w:val="subscript"/>
        </w:rPr>
        <w:t xml:space="preserve">calcite </w:t>
      </w:r>
      <w:r w:rsidRPr="00264A18">
        <w:rPr>
          <w:rFonts w:ascii="Times" w:hAnsi="Times"/>
          <w:sz w:val="24"/>
        </w:rPr>
        <w:t>(Ω</w:t>
      </w:r>
      <w:r w:rsidRPr="00264A18">
        <w:rPr>
          <w:rFonts w:ascii="Times" w:hAnsi="Times"/>
          <w:sz w:val="24"/>
          <w:vertAlign w:val="subscript"/>
        </w:rPr>
        <w:t>c</w:t>
      </w:r>
      <w:r w:rsidRPr="00264A18">
        <w:rPr>
          <w:rFonts w:ascii="Times" w:hAnsi="Times"/>
          <w:sz w:val="24"/>
        </w:rPr>
        <w:t>) = 0.5 (2800 µatm) and at Ω</w:t>
      </w:r>
      <w:r w:rsidRPr="00264A18">
        <w:rPr>
          <w:rFonts w:ascii="Times" w:hAnsi="Times"/>
          <w:sz w:val="24"/>
          <w:vertAlign w:val="subscript"/>
        </w:rPr>
        <w:t>c</w:t>
      </w:r>
      <w:r w:rsidRPr="00264A18">
        <w:rPr>
          <w:rFonts w:ascii="Times" w:hAnsi="Times"/>
          <w:sz w:val="24"/>
        </w:rPr>
        <w:t xml:space="preserve"> = 1.3 (1000 µatm).  Alterations in shell growth and structure would be expected at Ω</w:t>
      </w:r>
      <w:r w:rsidRPr="00264A18">
        <w:rPr>
          <w:rFonts w:ascii="Times" w:hAnsi="Times"/>
          <w:sz w:val="24"/>
          <w:vertAlign w:val="subscript"/>
        </w:rPr>
        <w:t>c</w:t>
      </w:r>
      <w:r w:rsidRPr="00264A18">
        <w:rPr>
          <w:rFonts w:ascii="Times" w:hAnsi="Times"/>
          <w:sz w:val="24"/>
        </w:rPr>
        <w:t xml:space="preserve"> &lt; 1, however, there is increasing evidence that shell modifications also occur at Ω</w:t>
      </w:r>
      <w:r w:rsidRPr="00264A18">
        <w:rPr>
          <w:rFonts w:ascii="Times" w:hAnsi="Times"/>
          <w:sz w:val="24"/>
          <w:vertAlign w:val="subscript"/>
        </w:rPr>
        <w:t>c</w:t>
      </w:r>
      <w:r w:rsidRPr="00264A18">
        <w:rPr>
          <w:rFonts w:ascii="Times" w:hAnsi="Times"/>
          <w:sz w:val="24"/>
        </w:rPr>
        <w:t xml:space="preserve"> &gt; 1.  Even when seawater is saturated with respect to calcite, bivalves experience both shell dissolution </w:t>
      </w:r>
      <w:r w:rsidRPr="00264A18">
        <w:rPr>
          <w:rFonts w:ascii="Times" w:hAnsi="Times"/>
          <w:sz w:val="24"/>
        </w:rPr>
        <w:fldChar w:fldCharType="begin" w:fldLock="1"/>
      </w:r>
      <w:r w:rsidRPr="00264A18">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"previouslyFormattedCitation" : "(Dickinson et al., 2013; Lannig et al., 2010)"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(Dickinson et al., 2013; Lannig et al., 2010)</w:t>
      </w:r>
      <w:r w:rsidRPr="00264A18">
        <w:rPr>
          <w:rFonts w:ascii="Times" w:hAnsi="Times"/>
          <w:sz w:val="24"/>
        </w:rPr>
        <w:fldChar w:fldCharType="end"/>
      </w:r>
      <w:r w:rsidRPr="00264A18">
        <w:rPr>
          <w:rFonts w:ascii="Times" w:hAnsi="Times"/>
          <w:sz w:val="24"/>
        </w:rPr>
        <w:t xml:space="preserve"> and changes to shell microstructure </w:t>
      </w:r>
      <w:r w:rsidRPr="00264A18">
        <w:rPr>
          <w:rFonts w:ascii="Times" w:hAnsi="Times"/>
          <w:sz w:val="24"/>
        </w:rPr>
        <w:fldChar w:fldCharType="begin" w:fldLock="1"/>
      </w:r>
      <w:r w:rsidRPr="00264A18">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"container-title" : "Molluscan Research",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"(Beniash et al., 2010; Dickinson et al., 2013; Welladsen et al., 2010)", "previouslyFormattedCitation" : "(Beniash et al., 2010; Dickinson et al., 2013; Welladsen, Southgate, &amp; Heimann, 2010)"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(Beniash et al., 2010; Dickinson et al., 2013; Welladsen et al., 2010)</w:t>
      </w:r>
      <w:r w:rsidRPr="00264A18">
        <w:rPr>
          <w:rFonts w:ascii="Times" w:hAnsi="Times"/>
          <w:sz w:val="24"/>
        </w:rPr>
        <w:fldChar w:fldCharType="end"/>
      </w:r>
      <w:r w:rsidRPr="00264A18">
        <w:rPr>
          <w:rFonts w:ascii="Times" w:hAnsi="Times"/>
          <w:sz w:val="24"/>
        </w:rPr>
        <w:t>.  These results indicate that as Ω</w:t>
      </w:r>
      <w:r w:rsidRPr="00264A18">
        <w:rPr>
          <w:rFonts w:ascii="Times" w:hAnsi="Times"/>
          <w:sz w:val="24"/>
          <w:vertAlign w:val="subscript"/>
        </w:rPr>
        <w:t xml:space="preserve"> </w:t>
      </w:r>
      <w:r w:rsidRPr="00264A18">
        <w:rPr>
          <w:rFonts w:ascii="Times" w:hAnsi="Times"/>
          <w:sz w:val="24"/>
        </w:rPr>
        <w:t xml:space="preserve">decreases the driving force towards biomineralization is reduced. Since calcification is an energetically intensive process </w:t>
      </w:r>
      <w:r w:rsidRPr="00264A18">
        <w:rPr>
          <w:rFonts w:ascii="Times" w:hAnsi="Times"/>
          <w:sz w:val="24"/>
        </w:rPr>
        <w:fldChar w:fldCharType="begin" w:fldLock="1"/>
      </w:r>
      <w:r w:rsidRPr="00264A18">
        <w:rPr>
          <w:rFonts w:ascii="Times" w:hAnsi="Times"/>
          <w:sz w:val="24"/>
        </w:rPr>
        <w:instrText>ADDIN CSL_CITATION { "citationItems" : [ { "id" : "ITEM-1", "itemData" : { "author" : [ { "dropping-particle" : "", "family" : "Paine", "given" : "Robert T.", "non-dropping-particle" : "", "parse-names" : false, "suffix" : "" } ], "container-title" : "Limnology and Oceanography", "id" : "ITEM-1", "issue" : "1", "issued" : { "date-parts" : [ [ "1971" ] ] }, "page" : "86-98", "title" : "Energy flow in a natural population of the herbivorous gastropod Tegula funebralis", "type" : "article-journal", "volume" : "16" }, "uris" : [ "http://www.mendeley.com/documents/?uuid=56e966a0-2fe2-4e38-89fd-584865661eb3" ] }, { "id" : "ITEM-2", "itemData" : { "ISSN" : "0027-8424", "PMID" : "11607278", "abstract" : "Although crucial to our understanding of skeletal evolution in marine invertebrates, the cost of calcification has remained elusive for a simple reason: CaCO3 is an inorganic material. Its cost thus derives solely from the metabolic expenses of accumulating, transporting, and precipitating CaCO3 and cannot normally be separated from other metabolic costs. Traditionally, calcification cost has been ignored and total shell cost has been assumed to derive solely from skeletal organic matrix. The cost estimated here was permitted by the substantial natural variation in shell thickness in two rocky-shore gastropods (Nucella lamellosa and Nucella lapillus). In both the field and laboratory, data from three separate experiments revealed that groups of snails producing extra shell material under a particular set of experimental conditions also consumed extra food. The cost of calcification was estimated by computing the extra energy assimilated per unit extra shell produced at a common rate of tissue growth and then subtracting the cost of the organic matrix. At 1-2 J/mg of CaCO3, the calcification cost reported here is roughly 5% of that for the predominantly proteinaceous organic fraction of molluscan shells on a per-gram basis. This may explain why calcareous microstructures high in organic content have become less common evolutionarily.", "author" : [ { "dropping-particle" : "", "family" : "Palmer", "given" : "A.R.", "non-dropping-particle" : "", "parse-names" : false, "suffix" : "" } ], "container-title" : "Proceedings of the National Academy of Sciences of the United States of America", "id" : "ITEM-2", "issue" : "4", "issued" : { "date-parts" : [ [ "1992", "2", "15" ] ] }, "page" : "1379-82", "title" : "Calcification in marine molluscs: how costly is it?", "type" : "article-journal", "volume" : "89" }, "uris" : [ "http://www.mendeley.com/documents/?uuid=bb284591-73b8-4d81-a0ca-c35c1c87c86c" ] }, { "id" : "ITEM-3", "itemData" : { "author" : [ { "dropping-particle" : "", "family" : "Rosenberg", "given" : "Gary D.", "non-dropping-particle" : "", "parse-names" : false, "suffix" : "" }, { "dropping-particle" : "", "family" : "Hughes", "given" : "W. William", "non-dropping-particle" : "", "parse-names" : false, "suffix" : "" } ], "container-title" : "Lethaia", "id" : "ITEM-3", "issue" : "1", "issued" : { "date-parts" : [ [ "1991" ] ] }, "page" : "83-96", "title" : "A metabolic model for the determination of shell composition in the bivalve mollusc, Mytilus edulis", "type" : "article-journal", "volume" : "24" }, "uris" : [ "http://www.mendeley.com/documents/?uuid=78aedba5-4301-435b-a1c8-0ffb314d0376" ] } ], "mendeley" : { "previouslyFormattedCitation" : "(Paine, 1971; Palmer, 1992; Rosenberg &amp; Hughes, 1991)"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(Paine, 1971; Palmer, 1992; Rosenberg &amp; Hughes, 1991)</w:t>
      </w:r>
      <w:r w:rsidRPr="00264A18">
        <w:rPr>
          <w:rFonts w:ascii="Times" w:hAnsi="Times"/>
          <w:sz w:val="24"/>
        </w:rPr>
        <w:fldChar w:fldCharType="end"/>
      </w:r>
      <w:r w:rsidRPr="00264A18">
        <w:rPr>
          <w:rFonts w:ascii="Times" w:hAnsi="Times"/>
          <w:sz w:val="24"/>
        </w:rPr>
        <w:t>, one explanation for significant effects on CaCO</w:t>
      </w:r>
      <w:r w:rsidRPr="00264A18">
        <w:rPr>
          <w:rFonts w:ascii="Times" w:hAnsi="Times"/>
          <w:sz w:val="24"/>
          <w:vertAlign w:val="subscript"/>
        </w:rPr>
        <w:t>3</w:t>
      </w:r>
      <w:r w:rsidRPr="00264A18">
        <w:rPr>
          <w:rFonts w:ascii="Times" w:hAnsi="Times"/>
          <w:sz w:val="24"/>
        </w:rPr>
        <w:t xml:space="preserve"> structures at Ω</w:t>
      </w:r>
      <w:r w:rsidRPr="00264A18">
        <w:rPr>
          <w:rFonts w:ascii="Times" w:hAnsi="Times"/>
          <w:sz w:val="24"/>
          <w:vertAlign w:val="subscript"/>
        </w:rPr>
        <w:t xml:space="preserve">  </w:t>
      </w:r>
      <w:r w:rsidRPr="00264A18">
        <w:rPr>
          <w:rFonts w:ascii="Times" w:hAnsi="Times"/>
          <w:sz w:val="24"/>
        </w:rPr>
        <w:t>&gt; 1 is that resources for energy metabolism are being reallocated to other, non-calcification physiological processes in order to maintain homeostasis.  Source population evolutionary history may also affect sensitivity to changes in Ω.</w:t>
      </w:r>
    </w:p>
    <w:p w14:paraId="0336B8C1" w14:textId="77777777" w:rsidR="00264A18" w:rsidRPr="00264A18" w:rsidRDefault="00264A18" w:rsidP="00264A18">
      <w:pPr>
        <w:pStyle w:val="normal0"/>
        <w:spacing w:line="360" w:lineRule="auto"/>
        <w:rPr>
          <w:rFonts w:ascii="Times" w:hAnsi="Times"/>
          <w:sz w:val="24"/>
        </w:rPr>
      </w:pPr>
    </w:p>
    <w:p w14:paraId="655A6874" w14:textId="4188A6CA"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In order to gain insight into changes in energy metabolism that could be a result of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we examined fatty acid profiles.  Relative proportions of fatty acids in whole body tissue were similar after one month of exposure to 800 µatm or </w:t>
      </w:r>
      <w:proofErr w:type="gramStart"/>
      <w:r w:rsidRPr="00264A18">
        <w:rPr>
          <w:rFonts w:ascii="Times" w:hAnsi="Times"/>
          <w:sz w:val="24"/>
        </w:rPr>
        <w:t>2800 µ</w:t>
      </w:r>
      <w:proofErr w:type="gramEnd"/>
      <w:r w:rsidRPr="00264A18">
        <w:rPr>
          <w:rFonts w:ascii="Times" w:hAnsi="Times"/>
          <w:sz w:val="24"/>
        </w:rPr>
        <w:t xml:space="preserve">atm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suggesting that extended stress of ocean acidification did not alter fundamental metabolites.  Oysters and other bivalves are highly dependent on fatty acids as a main energy source, especially poly-unsaturated fatty acids </w:t>
      </w:r>
      <w:r w:rsidRPr="00264A18">
        <w:rPr>
          <w:rFonts w:ascii="Times" w:hAnsi="Times"/>
          <w:sz w:val="24"/>
        </w:rPr>
        <w:fldChar w:fldCharType="begin" w:fldLock="1"/>
      </w:r>
      <w:r w:rsidRPr="00264A18">
        <w:rPr>
          <w:rFonts w:ascii="Times" w:hAnsi="Times"/>
          <w:sz w:val="24"/>
        </w:rPr>
        <w:instrText>ADDIN CSL_CITATION { "citationItems" : [ { "id" : "ITEM-1",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"ITEM-1",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"ISSN" : "0022-3166", "PMID" : "7381595", "abstract" : "Hatchery reared oysters (Crassostrea virginica) were fed six different diets for 30 weeks. The diets contained cod liver oil (CLO), corn oil (CO), corn oil and cod liver oil (1:2) (CO + CLO), hyrogenated coconut oil (HCO), ethyl esters of cod liver oil fatty acids (SF) or cod liver oil ethyl esters supplemented with cholesterol (CH). Data on growth and tissue composition imply that oysters have an essential fatty acid (EFA) requirement for both linolenic or omega 3 and linoleic or omega 6 series fatty acids, with the former playing a more significant role. The feeding study supported by a 14C-acetate metabolism experiment suggests that these oysters were unable to synthesize sterols and excessively high dietary sterol (1% of the dry weight of the diet) inhibited growth.", "author" : [ { "dropping-particle" : "", "family" : "Trider", "given" : "D J", "non-dropping-particle" : "", "parse-names" : false, "suffix" : "" }, { "dropping-particle" : "", "family" : "Castell", "given" : "J D", "non-dropping-particle" : "", "parse-names" : false, "suffix" : "" } ], "container-title" : "The Journal of nutrition", "id" : "ITEM-4", "issue" : "7", "issued" : { "date-parts" : [ [ "1980", "7" ] ] }, "page" : "1303-9", "title" : "Effect of dietary lipids on growth, tissue composition and metabolism of the oyster (Crassostrea virginica).", "type" : "article-journal", "volume" : "110" }, "uris" : [ "http://www.mendeley.com/documents/?uuid=a28afec6-ad8e-49db-a9ed-29784beb49f9" ] } ], "mendeley" : { "manualFormatting" : "(Milke et al., 2004; Pettersen et al., 2010; Soudant et al., 1999; Trider and Castell, 1980)", "previouslyFormattedCitation" : "(Milke et al., 2004; Pettersen et al., 2010; Soudant et al., 1999; Trider &amp; Castell, 1980)"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(Milke et al., 2004; Pettersen et al., 2010; Soudant et al., 1999; Trider and Castell, 1980)</w:t>
      </w:r>
      <w:r w:rsidRPr="00264A18">
        <w:rPr>
          <w:rFonts w:ascii="Times" w:hAnsi="Times"/>
          <w:sz w:val="24"/>
        </w:rPr>
        <w:fldChar w:fldCharType="end"/>
      </w:r>
      <w:r w:rsidRPr="00264A18">
        <w:rPr>
          <w:rFonts w:ascii="Times" w:hAnsi="Times"/>
          <w:sz w:val="24"/>
        </w:rPr>
        <w:t xml:space="preserve">.  Changes in physiological state, such as those induced by reproduction or poor nutrient supply, can alter the relative proportions of fatty acids in oyster tissue </w:t>
      </w:r>
      <w:r w:rsidRPr="00264A18">
        <w:rPr>
          <w:rFonts w:ascii="Times" w:hAnsi="Times"/>
          <w:sz w:val="24"/>
        </w:rPr>
        <w:fldChar w:fldCharType="begin" w:fldLock="1"/>
      </w:r>
      <w:r w:rsidRPr="00264A18">
        <w:rPr>
          <w:rFonts w:ascii="Times" w:hAnsi="Times"/>
          <w:sz w:val="24"/>
        </w:rPr>
        <w:instrText>ADDIN CSL_CITATION { "citationItems" : [ { "id" : "ITEM-1",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"ITEM-1", "issued" : { "date-parts" : [ [ "2011" ] ] }, "page" : "295-301", "title" : "Lipid composition of Mytilus edulis reared on organic waste from a Gadus morhua aquaculture facility", "type" : "article-journal", "volume" : "301" }, "uris" : [ "http://www.mendeley.com/documents/?uuid=0f65e703-8f5e-4f8a-8bfc-bc4f40cd2919"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"mendeley" : { "previouslyFormattedCitation" : "(Both et al., 2011; Soudant et al., 1999)"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(Both et al., 2011; Soudant et al., 1999)</w:t>
      </w:r>
      <w:r w:rsidRPr="00264A18">
        <w:rPr>
          <w:rFonts w:ascii="Times" w:hAnsi="Times"/>
          <w:sz w:val="24"/>
        </w:rPr>
        <w:fldChar w:fldCharType="end"/>
      </w:r>
      <w:r w:rsidRPr="00264A18">
        <w:rPr>
          <w:rFonts w:ascii="Times" w:hAnsi="Times"/>
          <w:sz w:val="24"/>
        </w:rPr>
        <w:t xml:space="preserve">.  It is possible that an environmental stress can trigger a change in bivalve physiology and result in changes in fatty acid metabolism and/or storage.  In the case of ocean acidification, </w:t>
      </w:r>
      <w:r w:rsidRPr="00264A18">
        <w:rPr>
          <w:rFonts w:ascii="Times" w:hAnsi="Times"/>
          <w:i/>
          <w:sz w:val="24"/>
        </w:rPr>
        <w:t>C. gigas</w:t>
      </w:r>
      <w:r w:rsidRPr="00264A18">
        <w:rPr>
          <w:rFonts w:ascii="Times" w:hAnsi="Times"/>
          <w:sz w:val="24"/>
        </w:rPr>
        <w:t xml:space="preserve"> is able to maintain homeostasis of both total and relative amounts of important fatty acids by restructuring the proteome to metabolize or synthesize lipids as needed.  In contrast to our results, after 11 weeks of exposure to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of 800 µatm, juvenile </w:t>
      </w:r>
      <w:r w:rsidRPr="00264A18">
        <w:rPr>
          <w:rFonts w:ascii="Times" w:hAnsi="Times"/>
          <w:i/>
          <w:sz w:val="24"/>
        </w:rPr>
        <w:t>C. virginica</w:t>
      </w:r>
      <w:r w:rsidRPr="00264A18">
        <w:rPr>
          <w:rFonts w:ascii="Times" w:hAnsi="Times"/>
          <w:sz w:val="24"/>
        </w:rPr>
        <w:t xml:space="preserve"> had significantly less lipid per gram body weight than control oysters </w:t>
      </w:r>
      <w:r w:rsidRPr="00264A18">
        <w:rPr>
          <w:rFonts w:ascii="Times" w:hAnsi="Times"/>
          <w:sz w:val="24"/>
        </w:rPr>
        <w:fldChar w:fldCharType="begin" w:fldLock="1"/>
      </w:r>
      <w:r w:rsidRPr="00264A18">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(Dickinson et al., 2012)</w:t>
      </w:r>
      <w:r w:rsidRPr="00264A18">
        <w:rPr>
          <w:rFonts w:ascii="Times" w:hAnsi="Times"/>
          <w:sz w:val="24"/>
        </w:rPr>
        <w:fldChar w:fldCharType="end"/>
      </w:r>
      <w:r w:rsidRPr="00264A18">
        <w:rPr>
          <w:rFonts w:ascii="Times" w:hAnsi="Times"/>
          <w:sz w:val="24"/>
        </w:rPr>
        <w:t xml:space="preserve">.  The extended stress of the 11 week exposure in Dickinson et al. (2012) may have overwhelmed </w:t>
      </w:r>
      <w:r w:rsidRPr="00264A18">
        <w:rPr>
          <w:rFonts w:ascii="Times" w:hAnsi="Times"/>
          <w:i/>
          <w:sz w:val="24"/>
        </w:rPr>
        <w:t>C. virginica</w:t>
      </w:r>
      <w:r w:rsidRPr="00264A18">
        <w:rPr>
          <w:rFonts w:ascii="Times" w:hAnsi="Times"/>
          <w:sz w:val="24"/>
        </w:rPr>
        <w:t xml:space="preserve">’s ability to maintain lipid homeostasis, suggesting that oyster energy metabolism may fail under consistent ocean acidification stress.  There are some instances where ocean acidification did not influence lipid levels in invertebrates.  For example, in larval sea urchins, despite the fact that individuals at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were smaller than control larvae,</w:t>
      </w:r>
      <w:r w:rsidRPr="00264A18">
        <w:rPr>
          <w:rFonts w:ascii="Times" w:hAnsi="Times"/>
          <w:sz w:val="24"/>
          <w:vertAlign w:val="subscript"/>
        </w:rPr>
        <w:t xml:space="preserve"> </w:t>
      </w:r>
      <w:r w:rsidRPr="00264A18">
        <w:rPr>
          <w:rFonts w:ascii="Times" w:hAnsi="Times"/>
          <w:sz w:val="24"/>
        </w:rPr>
        <w:t xml:space="preserve">they maintained the same lipid and protein levels </w:t>
      </w:r>
      <w:r w:rsidRPr="00264A18">
        <w:rPr>
          <w:rFonts w:ascii="Times" w:hAnsi="Times"/>
          <w:sz w:val="24"/>
        </w:rPr>
        <w:fldChar w:fldCharType="begin" w:fldLock="1"/>
      </w:r>
      <w:r w:rsidRPr="00264A18">
        <w:rPr>
          <w:rFonts w:ascii="Times" w:hAnsi="Times"/>
          <w:sz w:val="24"/>
        </w:rPr>
        <w:instrText>ADDIN CSL_CITATION { "citationItems" : [ { "id" : "ITEM-1", "itemData" : { "ISSN" : "1939-8697", "PMID" : "23264477", "abstract" : "Ocean acidification (OA) is expected to have a major impact on marine species, particularly during early life-history stages. These effects appear to be species-specific and may include reduced survival, altered morphology, and depressed metabolism. However, less information is available regarding the bioenergetics of development under elevated CO(2) conditions. We examined the biochemical and morphological responses of Strongylocentrotus purpuratus during early development under ecologically relevant levels of pCO(2) (365, 1030, and 1450 \u03bcatm) that may occur during intense upwelling events. The principal findings of this study were (1) lipid utilization rates and protein content in S. purpuratus did not vary with pCO(2); (2) larval growth was reduced at elevated pCO(2) despite similar rates of energy utilization; and (3) relationships between egg phospholipid content and larval length were found under control but not high pCO(2) conditions. These results suggest that this species may either prioritize endogenous energy toward development and physiological function at the expense of growth, or that reduced larval length may be strictly due to higher costs of growth under OA conditions. This study highlights the need to further expand our knowledge of the physiological mechanisms involved in OA response in order to better understand how present populations may respond to global environmental change.", "author" : [ { "dropping-particle" : "", "family" : "Matson", "given" : "Paul G", "non-dropping-particle" : "", "parse-names" : false, "suffix" : "" }, { "dropping-particle" : "", "family" : "Yu", "given" : "Pauline C", "non-dropping-particle" : "", "parse-names" : false, "suffix" : "" }, { "dropping-particle" : "", "family" : "Sewell", "given" : "Mary a", "non-dropping-particle" : "", "parse-names" : false, "suffix" : "" }, { "dropping-particle" : "", "family" : "Hofmann", "given" : "Gretchen E", "non-dropping-particle" : "", "parse-names" : false, "suffix" : "" } ], "container-title" : "The Biological bulletin", "id" : "ITEM-1", "issue" : "3", "issued" : { "date-parts" : [ [ "2012", "12" ] ] }, "page" : "312-27", "title" : "Development under elevated pCO2 conditions does not affect lipid utilization and protein content in early life-history stages of the purple sea urchin, Strongylocentrotus purpuratus.", "type" : "article-journal", "volume" : "223" }, "uris" : [ "http://www.mendeley.com/documents/?uuid=bee43e1b-cfe5-429a-aec9-03c8c599976e" ] } ], "mendeley" : { "manualFormatting" : "(Matson et al., 2012)", "previouslyFormattedCitation" : "(Matson, Yu, Sewell, &amp; Hofmann, 2012)"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(Matson et al., 2012)</w:t>
      </w:r>
      <w:r w:rsidRPr="00264A18">
        <w:rPr>
          <w:rFonts w:ascii="Times" w:hAnsi="Times"/>
          <w:sz w:val="24"/>
        </w:rPr>
        <w:fldChar w:fldCharType="end"/>
      </w:r>
      <w:r w:rsidRPr="00264A18">
        <w:rPr>
          <w:rFonts w:ascii="Times" w:hAnsi="Times"/>
          <w:sz w:val="24"/>
        </w:rPr>
        <w:t>.</w:t>
      </w:r>
    </w:p>
    <w:p w14:paraId="586607A7" w14:textId="77777777" w:rsidR="00264A18" w:rsidRPr="00264A18" w:rsidRDefault="00264A18" w:rsidP="00264A18">
      <w:pPr>
        <w:pStyle w:val="normal0"/>
        <w:spacing w:line="360" w:lineRule="auto"/>
        <w:rPr>
          <w:rFonts w:ascii="Times" w:hAnsi="Times"/>
          <w:sz w:val="24"/>
        </w:rPr>
      </w:pPr>
    </w:p>
    <w:p w14:paraId="5D407685" w14:textId="77777777" w:rsidR="00264A18" w:rsidRPr="00264A18" w:rsidRDefault="00264A18" w:rsidP="00264A18">
      <w:pPr>
        <w:pStyle w:val="normal0"/>
        <w:spacing w:line="360" w:lineRule="auto"/>
        <w:rPr>
          <w:rFonts w:ascii="Times" w:hAnsi="Times"/>
          <w:sz w:val="24"/>
        </w:rPr>
      </w:pPr>
      <w:r w:rsidRPr="00264A18">
        <w:rPr>
          <w:rFonts w:ascii="Times" w:hAnsi="Times"/>
          <w:i/>
          <w:sz w:val="24"/>
        </w:rPr>
        <w:tab/>
      </w:r>
      <w:r w:rsidRPr="00264A18">
        <w:rPr>
          <w:rFonts w:ascii="Times" w:hAnsi="Times"/>
          <w:sz w:val="24"/>
        </w:rPr>
        <w:t xml:space="preserve">Consistent with the hypothesis that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impacts underlying physiology, we predicted that lower pH would depress the temperature threshold for mortality after heat exposure.  The lack of influence on acute heat shock response across the four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treatments could be evidence that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has little effect on the oyster’s macro-physiological response.  We are not aware of other studies that have investigated ocean acidification and acute heat stress, but there are studies that have explored moderately elevated temperatures and ocean acidification over an extended period.  In </w:t>
      </w:r>
      <w:r w:rsidRPr="00264A18">
        <w:rPr>
          <w:rFonts w:ascii="Times" w:hAnsi="Times"/>
          <w:i/>
          <w:sz w:val="24"/>
        </w:rPr>
        <w:t>C. virginica</w:t>
      </w:r>
      <w:r w:rsidRPr="00264A18">
        <w:rPr>
          <w:rFonts w:ascii="Times" w:hAnsi="Times"/>
          <w:sz w:val="24"/>
        </w:rPr>
        <w:t xml:space="preserve">,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did not impact the oyster’s response to elevated temperature </w:t>
      </w:r>
      <w:r w:rsidRPr="00264A18">
        <w:rPr>
          <w:rFonts w:ascii="Times" w:hAnsi="Times"/>
          <w:sz w:val="24"/>
        </w:rPr>
        <w:fldChar w:fldCharType="begin" w:fldLock="1"/>
      </w:r>
      <w:r w:rsidRPr="00264A18">
        <w:rPr>
          <w:rFonts w:ascii="Times" w:hAnsi="Times"/>
          <w:sz w:val="24"/>
        </w:rPr>
        <w:instrText>ADDIN CSL_CITATION { "citationItems" : [ { "id" : "ITEM-1", "itemData" : { "DOI" : "10.1016/j.cbpa.2013.05.016", "ISSN" : "1531-4332", "PMID" : "23707887", "abstract" : "The continuing increase of carbon dioxide (CO2) levels in the atmosphere leads to increases in global temperatures and partial pressure of CO2 (PCO2) in surface waters, causing ocean acidification. These changes are especially pronounced in shallow coastal and estuarine waters and are expected to significantly affect marine calcifiers including bivalves that are ecosystem engineers in estuarine and coastal communities. To elucidate potential effects of higher temperatures and PCO2 on physiology and biomineralization of marine bivalves, we exposed two bivalve species, the eastern oysters Crassostrea virginica and the hard clams Mercenaria mercenaria to different combinations of PCO2 (~400 and 800\u03bcatm) and temperatures (22 and 27\u00b0C) for 15weeks. Survival, bioenergetic traits (tissue levels of lipids, glycogen, glucose and high energy phosphates) and biomineralization parameters (mechanical properties of the shells and activity of carbonic anhydrase, CA) were determined in clams and oysters under different temperature and PCO2 regimes. Our analysis showed major inter-species differences in shell mechanical traits and bioenergetics parameters. Elevated temperature led to the depletion of tissue energy reserves indicating energy deficiency in both species and resulted in higher mortality in oysters. Interestingly, while elevated PCO2 had a small effect on the physiology and metabolism of both species, it improved survival in oysters. At the same time, a combination of high temperature and elevated PCO2 lead to a significant decrease in shell hardness in both species, suggesting major changes in their biomineralization processes. Overall, these studies show that global climate change and ocean acidification might have complex interactive effects on physiology, metabolism and biomineralization in coastal and estuarine marine bivalves.", "author" : [ { "dropping-particle" : "V", "family" : "Ivanina", "given" : "Anna", "non-dropping-particle" : "", "parse-names" : false, "suffix" : "" }, { "dropping-particle" : "", "family" : "Dickinson", "given" : "Gary H", "non-dropping-particle" : "", "parse-names" : false, "suffix" : "" }, { "dropping-particle" : "", "family" : "Matoo", "given" : "Omera B", "non-dropping-particle" : "", "parse-names" : false, "suffix" : "" }, { "dropping-particle" : "", "family" : "Bagwe", "given" : "Rita", "non-dropping-particle" : "", "parse-names" : false, "suffix" : "" }, { "dropping-particle" : "", "family" : "Dickinson", "given" : "Ashley",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"1", "issued" : { "date-parts" : [ [ "2013", "9" ] ] }, "page" : "101-11", "publisher" : "Elsevier Inc.", "title" : "Interactive effects of elevated temperature and CO2 levels on energy metabolism and biomineralization of marine bivalves Crassostrea virginica and Mercenaria mercenaria.", "type" : "article-journal", "volume" : "166" }, "uris" : [ "http://www.mendeley.com/documents/?uuid=4c44a0c6-627e-41ae-b2a7-d5f5801e55e1" ] } ], "mendeley" : { "previouslyFormattedCitation" : "(Ivanina et al., 2013)"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(Ivanina et al., 2013)</w:t>
      </w:r>
      <w:r w:rsidRPr="00264A18">
        <w:rPr>
          <w:rFonts w:ascii="Times" w:hAnsi="Times"/>
          <w:sz w:val="24"/>
        </w:rPr>
        <w:fldChar w:fldCharType="end"/>
      </w:r>
      <w:r w:rsidRPr="00264A18">
        <w:rPr>
          <w:rFonts w:ascii="Times" w:hAnsi="Times"/>
          <w:sz w:val="24"/>
        </w:rPr>
        <w:t xml:space="preserve">.  In fact, Ivanina et al. (2013) demonstrated that exposure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limited high temperature-associated mortality in </w:t>
      </w:r>
      <w:r w:rsidRPr="00264A18">
        <w:rPr>
          <w:rFonts w:ascii="Times" w:hAnsi="Times"/>
          <w:i/>
          <w:sz w:val="24"/>
        </w:rPr>
        <w:t>C. virginica</w:t>
      </w:r>
      <w:r w:rsidRPr="00264A18">
        <w:rPr>
          <w:rFonts w:ascii="Times" w:hAnsi="Times"/>
          <w:sz w:val="24"/>
        </w:rPr>
        <w:t xml:space="preserve">.  It appears that extended exposure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did not mitigate oyster mortality in response to acute heat shock as it can do with long-term exposure to a moderately elevated temperature.</w:t>
      </w:r>
    </w:p>
    <w:p w14:paraId="0D0FB8E4" w14:textId="77777777" w:rsidR="00264A18" w:rsidRPr="00264A18" w:rsidRDefault="00264A18" w:rsidP="00264A18">
      <w:pPr>
        <w:pStyle w:val="normal0"/>
        <w:spacing w:line="360" w:lineRule="auto"/>
        <w:rPr>
          <w:rFonts w:ascii="Times" w:hAnsi="Times"/>
          <w:i/>
          <w:sz w:val="24"/>
        </w:rPr>
      </w:pPr>
    </w:p>
    <w:p w14:paraId="2F34BDDF" w14:textId="77777777" w:rsidR="00264A18" w:rsidRDefault="00264A18" w:rsidP="00264A18">
      <w:pPr>
        <w:pStyle w:val="Heading3"/>
      </w:pPr>
      <w:bookmarkStart w:id="74" w:name="_Toc252110026"/>
      <w:r w:rsidRPr="00264A18">
        <w:t>Proteomic response to ocean acidification</w:t>
      </w:r>
      <w:bookmarkEnd w:id="74"/>
      <w:r w:rsidRPr="00264A18">
        <w:tab/>
      </w:r>
    </w:p>
    <w:p w14:paraId="6DC2C028" w14:textId="77777777" w:rsidR="00264A18" w:rsidRPr="00264A18" w:rsidRDefault="00264A18" w:rsidP="00264A18"/>
    <w:p w14:paraId="1564F2F3" w14:textId="7777777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To achieve a comprehensive assessment of the underlying physiological impact of ocean acidification on oysters, we characterized the proteomic response.  Ocean acidification significantly affected the underlying molecular physiology of </w:t>
      </w:r>
      <w:r w:rsidRPr="00264A18">
        <w:rPr>
          <w:rFonts w:ascii="Times" w:hAnsi="Times"/>
          <w:i/>
          <w:sz w:val="24"/>
        </w:rPr>
        <w:t>C. gigas</w:t>
      </w:r>
      <w:r w:rsidRPr="00264A18">
        <w:rPr>
          <w:rFonts w:ascii="Times" w:hAnsi="Times"/>
          <w:sz w:val="24"/>
        </w:rPr>
        <w:t xml:space="preserve"> after one month of exposure.  Among the main processes affected were lipid and carbohydrate metabolism, cell adhesion, cytoskeleton processes, detoxification and the antioxidant response, the cellular stress response, DNA repair, transcription, and translation.  The details of some of these proteomic changes in response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are outlined below.</w:t>
      </w:r>
    </w:p>
    <w:p w14:paraId="5CC90D12" w14:textId="77777777" w:rsidR="00264A18" w:rsidRPr="00264A18" w:rsidRDefault="00264A18" w:rsidP="00264A18">
      <w:pPr>
        <w:pStyle w:val="normal0"/>
        <w:spacing w:line="360" w:lineRule="auto"/>
        <w:ind w:firstLine="720"/>
        <w:rPr>
          <w:rFonts w:ascii="Times" w:hAnsi="Times"/>
          <w:sz w:val="24"/>
        </w:rPr>
      </w:pPr>
    </w:p>
    <w:p w14:paraId="28075F9B" w14:textId="77777777" w:rsidR="00264A18" w:rsidRPr="00264A18" w:rsidRDefault="00264A18" w:rsidP="00264A18">
      <w:pPr>
        <w:pStyle w:val="Heading4"/>
      </w:pPr>
      <w:r w:rsidRPr="00264A18">
        <w:t>Carbohydrate metabolism</w:t>
      </w:r>
    </w:p>
    <w:p w14:paraId="63529E36" w14:textId="77777777" w:rsidR="00264A18" w:rsidRDefault="00264A18" w:rsidP="00264A18">
      <w:pPr>
        <w:pStyle w:val="normal0"/>
        <w:spacing w:line="360" w:lineRule="auto"/>
        <w:ind w:firstLine="720"/>
        <w:rPr>
          <w:rFonts w:ascii="Times" w:hAnsi="Times"/>
          <w:sz w:val="24"/>
        </w:rPr>
      </w:pPr>
    </w:p>
    <w:p w14:paraId="3DEB7EA6" w14:textId="0FBD571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One clear trend identified in gill protein expression patterns in oysters exposed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was the differential expression of proteins associated with carbohydrate metabolism.  Changes in these pathways imply alterations in energetic resource use upon exposure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Protein expression changed for a range of enzymes involved in producing glucose, perhaps revealing a shift in glucose production pathways during ocean acidification stress.  Proteins in the galactose metabolism pathway (UDP-glucose 4-epimerase, UDP-N-acetylhexosamine pyrophosphorylase, and N-acetylgalactosamine kinase), which can lead to increased glucose production, were expressed higher in oysters from the high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treatment.  Those involved in gluconeogenesis (serine-pyruvate aminotransferase) and conversion of other carbohydrates to glucose (glycogen debranching enzyme and pyruvate kinase muscle enzyme) were expressed at higher levels in oysters from the low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treatment.  One explanation for these changes is that during exposure to ocean acidification oysters need more glucose production in order to maintain homeostasis. In other taxa, the general stress response usually leads to increased carbohydrate metabolism and decreased carbohydrate storage, which is similar to observations from this study </w:t>
      </w:r>
      <w:r w:rsidRPr="00264A18">
        <w:rPr>
          <w:rFonts w:ascii="Times" w:hAnsi="Times"/>
          <w:sz w:val="24"/>
        </w:rPr>
        <w:fldChar w:fldCharType="begin" w:fldLock="1"/>
      </w:r>
      <w:r w:rsidRPr="00264A18">
        <w:rPr>
          <w:rFonts w:ascii="Times" w:hAnsi="Times"/>
          <w:sz w:val="24"/>
        </w:rPr>
        <w:instrText>ADDIN CSL_CITATION { "citationItems" : [ { "id" : "ITEM-1", "itemData" : { "author" : [ { "dropping-particle" : "", "family" : "Mizock", "given" : "Barry A", "non-dropping-particle" : "", "parse-names" : false, "suffix" : "" } ], "container-title" : "The American Journal of Medicine", "id" : "ITEM-1", "issued" : { "date-parts" : [ [ "1995" ] ] }, "page" : "75-84", "title" : "Alterations in Carbohydrate metabolism during stress: A review of the literature", "type" : "article-journal", "volume" : "98" }, "uris" : [ "http://www.mendeley.com/documents/?uuid=ca611a49-7bbf-4fc7-8617-f58a61d4590c" ] }, { "id" : "ITEM-2", "itemData" : { "author" : [ { "dropping-particle" : "", "family" : "Parrou", "given" : "Jean Luc", "non-dropping-particle" : "", "parse-names" : false, "suffix" : "" }, { "dropping-particle" : "", "family" : "Teste", "given" : "Marie-ange", "non-dropping-particle" : "", "parse-names" : false, "suffix" : "" }, { "dropping-particle" : "", "family" : "Franqois", "given" : "Jean", "non-dropping-particle" : "", "parse-names" : false, "suffix" : "" }, { "dropping-particle" : "", "family" : "Durand", "given" : "Gilbert", "non-dropping-particle" : "", "parse-names" : false, "suffix" : "" }, { "dropping-particle" : "", "family" : "Cnrs", "given" : "U M R", "non-dropping-particle" : "", "parse-names" : false, "suffix" : "" } ], "id" : "ITEM-2", "issued" : { "date-parts" : [ [ "1997" ] ] }, "page" : "1891-1900", "title" : "Effects of various types of stress on the metabolism of reserve carbohydrates in Saccharomyces cerevisiae : genetic evidence for a stress-induced recycling of glycogen and tre ha lose", "type" : "article-journal" }, "uris" : [ "http://www.mendeley.com/documents/?uuid=b75838d4-86cc-407d-ac66-2012d432a621" ] } ], "mendeley" : { "manualFormatting" : "(Mizock, 1995; Parrou et al., 1997)", "previouslyFormattedCitation" : "(Mizock, 1995; Parrou, Teste, Franqois, Durand, &amp; Cnrs, 1997)"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(Mizock, 1995; Parrou et al., 1997)</w:t>
      </w:r>
      <w:r w:rsidRPr="00264A18">
        <w:rPr>
          <w:rFonts w:ascii="Times" w:hAnsi="Times"/>
          <w:sz w:val="24"/>
        </w:rPr>
        <w:fldChar w:fldCharType="end"/>
      </w:r>
      <w:r w:rsidRPr="00264A18">
        <w:rPr>
          <w:rFonts w:ascii="Times" w:hAnsi="Times"/>
          <w:sz w:val="24"/>
        </w:rPr>
        <w:t>.  Ocean acidification appears to impact energy resource demands in the oyster, which could be of consequence during periods of immune stress or reproduction, which also require many energetic resources.</w:t>
      </w:r>
    </w:p>
    <w:p w14:paraId="0E6668C5" w14:textId="77777777" w:rsidR="00264A18" w:rsidRPr="00264A18" w:rsidRDefault="00264A18" w:rsidP="00264A18">
      <w:pPr>
        <w:pStyle w:val="normal0"/>
        <w:spacing w:line="360" w:lineRule="auto"/>
        <w:rPr>
          <w:rFonts w:ascii="Times" w:hAnsi="Times"/>
          <w:sz w:val="24"/>
        </w:rPr>
      </w:pPr>
    </w:p>
    <w:p w14:paraId="09CE0577" w14:textId="77777777" w:rsidR="00264A18" w:rsidRDefault="00264A18" w:rsidP="00264A18">
      <w:pPr>
        <w:pStyle w:val="Heading4"/>
      </w:pPr>
      <w:r w:rsidRPr="00264A18">
        <w:t>Lipid metabolism</w:t>
      </w:r>
    </w:p>
    <w:p w14:paraId="738C7C2B" w14:textId="77777777" w:rsidR="00264A18" w:rsidRPr="00264A18" w:rsidRDefault="00264A18" w:rsidP="00264A18"/>
    <w:p w14:paraId="3FB46D0A" w14:textId="7777777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The expression of proteins involved in lipid metabolism, another important energy source, and lipid transport were significantly affected by exposure to ocean acidification.  Proteins implicated in fatty acid metabolism (enoyl-CoA hydratase), fatty acid transport (fatty acid-binding protein, heart) and lipid synthesis (ATP-citrate synthase) were expressed at higher levels after exposure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A protein involved in desaturation and elongation of fatty acids (NADH-cytochrome b5 reductase 1), likely for incorporation into cellular membranes, was expressed lower in the ocean acidification-exposed oysters.  Highly unsaturated fatty acids are more sensitive to oxidative damage, therefore a lower level of unsaturation may not only protect cellular membranes from reactive oxygen species (ROS) damage but may also protect molecules within the cell (reviewed in </w:t>
      </w:r>
      <w:r w:rsidRPr="00264A18">
        <w:rPr>
          <w:rFonts w:ascii="Times" w:hAnsi="Times"/>
          <w:sz w:val="24"/>
        </w:rPr>
        <w:fldChar w:fldCharType="begin" w:fldLock="1"/>
      </w:r>
      <w:r w:rsidRPr="00264A18">
        <w:rPr>
          <w:rFonts w:ascii="Times" w:hAnsi="Times"/>
          <w:sz w:val="24"/>
        </w:rPr>
        <w:instrText>ADDIN CSL_CITATION { "citationItems" : [ { "id" : "ITEM-1", "itemData" : { "author" : [ { "dropping-particle" : "", "family" : "Pamplona", "given" : "Reinald", "non-dropping-particle" : "", "parse-names" : false, "suffix" : "" }, { "dropping-particle" : "", "family" : "Barja", "given" : "Gustavo", "non-dropping-particle" : "", "parse-names" : false, "suffix" : "" }, { "dropping-particle" : "", "family" : "Portero-Ot\u00edn", "given" : "Manuel", "non-dropping-particle" : "", "parse-names" : false, "suffix" : "" } ], "container-title" : "Annals of the New York Academy of Sciences", "id" : "ITEM-1", "issued" : { "date-parts" : [ [ "2002" ] ] }, "page" : "475-490", "title" : "Membrane Fatty Acid Unsaturation, Protection against Oxidative Stress, and Maximum Life Span", "type" : "article-journal", "volume" : "959" }, "uris" : [ "http://www.mendeley.com/documents/?uuid=7445b18c-86a0-4f4b-af9a-7b82ba7e53f9" ] } ], "mendeley" : { "manualFormatting" : "Pamplona et al., 2002)", "previouslyFormattedCitation" : "(Pamplona, Barja, &amp; Portero-Ot\u00edn, 2002)"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Pamplona et al., 2002)</w:t>
      </w:r>
      <w:r w:rsidRPr="00264A18">
        <w:rPr>
          <w:rFonts w:ascii="Times" w:hAnsi="Times"/>
          <w:sz w:val="24"/>
        </w:rPr>
        <w:fldChar w:fldCharType="end"/>
      </w:r>
      <w:r w:rsidRPr="00264A18">
        <w:rPr>
          <w:rFonts w:ascii="Times" w:hAnsi="Times"/>
          <w:sz w:val="24"/>
        </w:rPr>
        <w:t xml:space="preserve">.  Lipid metabolism-associated genes/proteins were also expressed at higher levels in larval barnacles </w:t>
      </w:r>
      <w:r w:rsidRPr="00264A18">
        <w:rPr>
          <w:rFonts w:ascii="Times" w:hAnsi="Times"/>
          <w:sz w:val="24"/>
        </w:rPr>
        <w:fldChar w:fldCharType="begin" w:fldLock="1"/>
      </w:r>
      <w:r w:rsidRPr="00264A18">
        <w:rPr>
          <w:rFonts w:ascii="Times" w:hAnsi="Times"/>
          <w:sz w:val="24"/>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"mendeley" : { "manualFormatting" : "(Wong et al., 2011)", "previouslyFormattedCitation" : "(Wong, Lane, Leung, &amp; Thiyagarajan, 2011)"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(Wong et al., 2011)</w:t>
      </w:r>
      <w:r w:rsidRPr="00264A18">
        <w:rPr>
          <w:rFonts w:ascii="Times" w:hAnsi="Times"/>
          <w:sz w:val="24"/>
        </w:rPr>
        <w:fldChar w:fldCharType="end"/>
      </w:r>
      <w:r w:rsidRPr="00264A18">
        <w:rPr>
          <w:rFonts w:ascii="Times" w:hAnsi="Times"/>
          <w:sz w:val="24"/>
        </w:rPr>
        <w:t xml:space="preserve"> and adult coral </w:t>
      </w:r>
      <w:r w:rsidRPr="00264A18">
        <w:rPr>
          <w:rFonts w:ascii="Times" w:hAnsi="Times"/>
          <w:sz w:val="24"/>
        </w:rPr>
        <w:fldChar w:fldCharType="begin" w:fldLock="1"/>
      </w:r>
      <w:r w:rsidRPr="00264A18">
        <w:rPr>
          <w:rFonts w:ascii="Times" w:hAnsi="Times"/>
          <w:sz w:val="24"/>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(Kaniewska et al., 2012)</w:t>
      </w:r>
      <w:r w:rsidRPr="00264A18">
        <w:rPr>
          <w:rFonts w:ascii="Times" w:hAnsi="Times"/>
          <w:sz w:val="24"/>
        </w:rPr>
        <w:fldChar w:fldCharType="end"/>
      </w:r>
      <w:r w:rsidRPr="00264A18">
        <w:rPr>
          <w:rFonts w:ascii="Times" w:hAnsi="Times"/>
          <w:sz w:val="24"/>
        </w:rPr>
        <w:t xml:space="preserve"> exposed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Changes in lipid metabolism, similar to the observed changes in carbohydrate metabolism, represent a shift in how energetic resources are used during extended environmental stress.  </w:t>
      </w:r>
    </w:p>
    <w:p w14:paraId="07C7E510" w14:textId="7777777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Frequently during extended ocean acidification stress bivalves shift from metabolism of mostly carbohydrates and lipids to greater use of protein resources </w:t>
      </w:r>
      <w:r w:rsidRPr="00264A18">
        <w:rPr>
          <w:rFonts w:ascii="Times" w:hAnsi="Times"/>
          <w:sz w:val="24"/>
        </w:rPr>
        <w:fldChar w:fldCharType="begin" w:fldLock="1"/>
      </w:r>
      <w:r w:rsidRPr="00264A18">
        <w:rPr>
          <w:rFonts w:ascii="Times" w:hAnsi="Times"/>
          <w:sz w:val="24"/>
        </w:rPr>
        <w:instrText>ADDIN CSL_CITATION { "citationItems" : [ { "id" : "ITEM-1",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"container-title" : "Marine Ecology Progress Series", "id" : "ITEM-1",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"ITEM-2",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"ITEM-2",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"manualFormatting" : "(Clark et al., 2013; Michaelidis et al., 2005)", "previouslyFormattedCitation" : "(Clark et al., 2013; Michaelidis, Ouzounis, Paleras, &amp; P\u00f6rtner, 2005)"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(Clark et al., 2013; Michaelidis et al., 2005)</w:t>
      </w:r>
      <w:r w:rsidRPr="00264A18">
        <w:rPr>
          <w:rFonts w:ascii="Times" w:hAnsi="Times"/>
          <w:sz w:val="24"/>
        </w:rPr>
        <w:fldChar w:fldCharType="end"/>
      </w:r>
      <w:r w:rsidRPr="00264A18">
        <w:rPr>
          <w:rFonts w:ascii="Times" w:hAnsi="Times"/>
          <w:sz w:val="24"/>
        </w:rPr>
        <w:t xml:space="preserve">. In this study, the observed proteomic changes were not yet reflected at the level of oyster fatty acid profiles, but the results suggest that with extended exposure both carbohydrate and lipid reserves would be altered by exposure to ocean acidification.  For example, lipid and glycogen stores were reduced in </w:t>
      </w:r>
      <w:r w:rsidRPr="00264A18">
        <w:rPr>
          <w:rFonts w:ascii="Times" w:hAnsi="Times"/>
          <w:i/>
          <w:sz w:val="24"/>
        </w:rPr>
        <w:t xml:space="preserve">C. virginica </w:t>
      </w:r>
      <w:r w:rsidRPr="00264A18">
        <w:rPr>
          <w:rFonts w:ascii="Times" w:hAnsi="Times"/>
          <w:sz w:val="24"/>
        </w:rPr>
        <w:t xml:space="preserve">after eleven weeks at low pH </w:t>
      </w:r>
      <w:r w:rsidRPr="00264A18">
        <w:rPr>
          <w:rFonts w:ascii="Times" w:hAnsi="Times"/>
          <w:sz w:val="24"/>
        </w:rPr>
        <w:fldChar w:fldCharType="begin" w:fldLock="1"/>
      </w:r>
      <w:r w:rsidRPr="00264A18">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(Dickinson et al., 2012)</w:t>
      </w:r>
      <w:r w:rsidRPr="00264A18">
        <w:rPr>
          <w:rFonts w:ascii="Times" w:hAnsi="Times"/>
          <w:sz w:val="24"/>
        </w:rPr>
        <w:fldChar w:fldCharType="end"/>
      </w:r>
      <w:r w:rsidRPr="00264A18">
        <w:rPr>
          <w:rFonts w:ascii="Times" w:hAnsi="Times"/>
          <w:sz w:val="24"/>
        </w:rPr>
        <w:t xml:space="preserve">.  The effects of changes in metabolism may already be seen at the proteomic level in </w:t>
      </w:r>
      <w:r w:rsidRPr="00264A18">
        <w:rPr>
          <w:rFonts w:ascii="Times" w:hAnsi="Times"/>
          <w:i/>
          <w:sz w:val="24"/>
        </w:rPr>
        <w:t xml:space="preserve">C. gigas </w:t>
      </w:r>
      <w:r w:rsidRPr="00264A18">
        <w:rPr>
          <w:rFonts w:ascii="Times" w:hAnsi="Times"/>
          <w:sz w:val="24"/>
        </w:rPr>
        <w:t>with decreased expression of proteins instrumental to muscle growth (kyphoscoliosis peptidase) and muscle repair (dysferlin) as well as the immune response (lymphocyte cytosolic protein 2 and allograft inflammatory factor 1).  Maintenance of a robust immune response and of healthy muscle mass are both important for the long-term fitness of oysters and ocean acidification may be affecting these processes via the reallocation of resources.</w:t>
      </w:r>
    </w:p>
    <w:p w14:paraId="1AAB54C8" w14:textId="77777777" w:rsidR="00264A18" w:rsidRPr="00264A18" w:rsidRDefault="00264A18" w:rsidP="00264A18">
      <w:pPr>
        <w:pStyle w:val="normal0"/>
        <w:spacing w:line="360" w:lineRule="auto"/>
        <w:rPr>
          <w:rFonts w:ascii="Times" w:hAnsi="Times"/>
          <w:sz w:val="24"/>
        </w:rPr>
      </w:pPr>
    </w:p>
    <w:p w14:paraId="39E03873" w14:textId="77777777" w:rsidR="00264A18" w:rsidRDefault="00264A18" w:rsidP="00264A18">
      <w:pPr>
        <w:pStyle w:val="Heading4"/>
      </w:pPr>
      <w:r w:rsidRPr="00264A18">
        <w:t>Oxidative metabolism</w:t>
      </w:r>
    </w:p>
    <w:p w14:paraId="6F8475CE" w14:textId="77777777" w:rsidR="00264A18" w:rsidRPr="00264A18" w:rsidRDefault="00264A18" w:rsidP="00264A18"/>
    <w:p w14:paraId="69E26BAA" w14:textId="7777777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Oxidative metabolism proteins were also affected by exposure to ocean acidification conditions, imposing further changes on energy supply and perhaps increasing oxidative stress</w:t>
      </w:r>
      <w:r w:rsidRPr="00264A18">
        <w:rPr>
          <w:rFonts w:ascii="Times" w:hAnsi="Times"/>
          <w:b/>
          <w:sz w:val="24"/>
        </w:rPr>
        <w:t xml:space="preserve">. </w:t>
      </w:r>
      <w:r w:rsidRPr="00264A18">
        <w:rPr>
          <w:rFonts w:ascii="Times" w:hAnsi="Times"/>
          <w:sz w:val="24"/>
        </w:rPr>
        <w:t xml:space="preserve"> Increased expression of proteins cytochrome c oxidase and NADH dehydrogenase implies that oysters exposed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experienced a heightened demand for energy (i.e. increased ATP production in mitochondria).  Heightened metabolism can occur in response to an ongoing stress (Mizock 1995) and may be an important adaptive strategy to counteract the physiological effects of elevated environmental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fldChar w:fldCharType="begin" w:fldLock="1"/>
      </w:r>
      <w:r w:rsidRPr="00264A18">
        <w:rPr>
          <w:rFonts w:ascii="Times" w:hAnsi="Times"/>
          <w:sz w:val="24"/>
        </w:rPr>
        <w:instrText>ADDIN CSL_CITATION { "citationItems" : [ { "id" : "ITEM-1", "itemData" : { "DOI" : "10.5194/bg-6-2313-2009", "ISSN" : "1726-4189", "author" : [ { "dropping-particle" : "", "family" : "Melzner", "given" : "F.", "non-dropping-particle" : "", "parse-names" : false, "suffix" : "" }, { "dropping-particle" : "", "family" : "Gutowska", "given" : "M. a.", "non-dropping-particle" : "", "parse-names" : false, "suffix" : "" }, { "dropping-particle" : "", "family" : "Langenbuch", "given" : "M.", "non-dropping-particle" : "", "parse-names" : false, "suffix" : "" }, { "dropping-particle" : "", "family" : "Dupont", "given" : "S.", "non-dropping-particle" : "", "parse-names" : false, "suffix" : "" }, { "dropping-particle" : "", "family" : "Lucassen", "given" : "M.", "non-dropping-particle" : "", "parse-names" : false, "suffix" : "" }, { "dropping-particle" : "", "family" : "Thorndyke", "given" : "M. C.", "non-dropping-particle" : "", "parse-names" : false, "suffix" : "" }, { "dropping-particle" : "", "family" : "Bleich", "given" : "M.", "non-dropping-particle" : "", "parse-names" : false, "suffix" : "" }, { "dropping-particle" : "", "family" : "P\u00f6rtner", "given" : "H.-O.", "non-dropping-particle" : "", "parse-names" : false, "suffix" : "" } ], "container-title" : "Biogeosciences", "id" : "ITEM-1", "issue" : "10", "issued" : { "date-parts" : [ [ "2009", "10", "30" ] ] }, "page" : "2313-2331", "title" : "Physiological basis for high CO&lt;sub&gt;2&lt;/sub&gt; tolerance in marine ectothermic animals: pre-adaptation through lifestyle and ontogeny?", "type" : "article-journal", "volume" : "6" }, "uris" : [ "http://www.mendeley.com/documents/?uuid=1c56aefa-f36a-4660-9793-ead3eb533716" ] } ], "mendeley" : { "manualFormatting" : "(Melzner et al., 2009)", "previouslyFormattedCitation" : "(F. Melzner et al., 2009)"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(Melzner et al., 2009)</w:t>
      </w:r>
      <w:r w:rsidRPr="00264A18">
        <w:rPr>
          <w:rFonts w:ascii="Times" w:hAnsi="Times"/>
          <w:sz w:val="24"/>
        </w:rPr>
        <w:fldChar w:fldCharType="end"/>
      </w:r>
      <w:r w:rsidRPr="00264A18">
        <w:rPr>
          <w:rFonts w:ascii="Times" w:hAnsi="Times"/>
          <w:sz w:val="24"/>
        </w:rPr>
        <w:t xml:space="preserve">.  However, this response can be species specific: increased metabolic rate was observed in </w:t>
      </w:r>
      <w:r w:rsidRPr="00264A18">
        <w:rPr>
          <w:rFonts w:ascii="Times" w:hAnsi="Times"/>
          <w:i/>
          <w:sz w:val="24"/>
        </w:rPr>
        <w:t>M. mercenaria</w:t>
      </w:r>
      <w:r w:rsidRPr="00264A18">
        <w:rPr>
          <w:rFonts w:ascii="Times" w:hAnsi="Times"/>
          <w:sz w:val="24"/>
        </w:rPr>
        <w:t xml:space="preserve">’s response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and temperature </w:t>
      </w:r>
      <w:r w:rsidRPr="00264A18">
        <w:rPr>
          <w:rFonts w:ascii="Times" w:hAnsi="Times"/>
          <w:sz w:val="24"/>
        </w:rPr>
        <w:fldChar w:fldCharType="begin" w:fldLock="1"/>
      </w:r>
      <w:r w:rsidRPr="00264A18">
        <w:rPr>
          <w:rFonts w:ascii="Times" w:hAnsi="Times"/>
          <w:sz w:val="24"/>
        </w:rP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(Matoo et al., 2013)</w:t>
      </w:r>
      <w:r w:rsidRPr="00264A18">
        <w:rPr>
          <w:rFonts w:ascii="Times" w:hAnsi="Times"/>
          <w:sz w:val="24"/>
        </w:rPr>
        <w:fldChar w:fldCharType="end"/>
      </w:r>
      <w:r w:rsidRPr="00264A18">
        <w:rPr>
          <w:rFonts w:ascii="Times" w:hAnsi="Times"/>
          <w:sz w:val="24"/>
        </w:rPr>
        <w:t xml:space="preserve">, while </w:t>
      </w:r>
      <w:r w:rsidRPr="00264A18">
        <w:rPr>
          <w:rFonts w:ascii="Times" w:hAnsi="Times"/>
          <w:i/>
          <w:sz w:val="24"/>
        </w:rPr>
        <w:t>C. gigas</w:t>
      </w:r>
      <w:r w:rsidRPr="00264A18">
        <w:rPr>
          <w:rFonts w:ascii="Times" w:hAnsi="Times"/>
          <w:sz w:val="24"/>
        </w:rPr>
        <w:t xml:space="preserve">’ metabolic rate was suppressed </w:t>
      </w:r>
      <w:r w:rsidRPr="00264A18">
        <w:rPr>
          <w:rFonts w:ascii="Times" w:hAnsi="Times"/>
          <w:sz w:val="24"/>
        </w:rPr>
        <w:fldChar w:fldCharType="begin" w:fldLock="1"/>
      </w:r>
      <w:r w:rsidRPr="00264A18">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"previouslyFormattedCitation" : "(Lannig et al., 2010)"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(Lannig et al., 2010)</w:t>
      </w:r>
      <w:r w:rsidRPr="00264A18">
        <w:rPr>
          <w:rFonts w:ascii="Times" w:hAnsi="Times"/>
          <w:sz w:val="24"/>
        </w:rPr>
        <w:fldChar w:fldCharType="end"/>
      </w:r>
      <w:r w:rsidRPr="00264A18">
        <w:rPr>
          <w:rFonts w:ascii="Times" w:hAnsi="Times"/>
          <w:sz w:val="24"/>
        </w:rPr>
        <w:t xml:space="preserve">.  Expression of proteins and genes associated with metabolic processes are among the most common changes when invertebrates are exposed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Genes associated with metabolism were expressed at lower levels in larval urchins </w:t>
      </w:r>
      <w:r w:rsidRPr="00264A18">
        <w:rPr>
          <w:rFonts w:ascii="Times" w:hAnsi="Times"/>
          <w:sz w:val="24"/>
        </w:rPr>
        <w:fldChar w:fldCharType="begin" w:fldLock="1"/>
      </w:r>
      <w:r w:rsidRPr="00264A18">
        <w:rPr>
          <w:rFonts w:ascii="Times" w:hAnsi="Times"/>
          <w:sz w:val="24"/>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(Todgham and Hofmann, 2009)</w:t>
      </w:r>
      <w:r w:rsidRPr="00264A18">
        <w:rPr>
          <w:rFonts w:ascii="Times" w:hAnsi="Times"/>
          <w:sz w:val="24"/>
        </w:rPr>
        <w:fldChar w:fldCharType="end"/>
      </w:r>
      <w:r w:rsidRPr="00264A18">
        <w:rPr>
          <w:rFonts w:ascii="Times" w:hAnsi="Times"/>
          <w:sz w:val="24"/>
        </w:rPr>
        <w:t xml:space="preserve">, adult corals </w:t>
      </w:r>
      <w:r w:rsidRPr="00264A18">
        <w:rPr>
          <w:rFonts w:ascii="Times" w:hAnsi="Times"/>
          <w:sz w:val="24"/>
        </w:rPr>
        <w:fldChar w:fldCharType="begin" w:fldLock="1"/>
      </w:r>
      <w:r w:rsidRPr="00264A18">
        <w:rPr>
          <w:rFonts w:ascii="Times" w:hAnsi="Times"/>
          <w:sz w:val="24"/>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(Kaniewska et al., 2012)</w:t>
      </w:r>
      <w:r w:rsidRPr="00264A18">
        <w:rPr>
          <w:rFonts w:ascii="Times" w:hAnsi="Times"/>
          <w:sz w:val="24"/>
        </w:rPr>
        <w:fldChar w:fldCharType="end"/>
      </w:r>
      <w:r w:rsidRPr="00264A18">
        <w:rPr>
          <w:rFonts w:ascii="Times" w:hAnsi="Times"/>
          <w:sz w:val="24"/>
        </w:rPr>
        <w:t xml:space="preserve">, larval oysters </w:t>
      </w:r>
      <w:r w:rsidRPr="00264A18">
        <w:rPr>
          <w:rFonts w:ascii="Times" w:hAnsi="Times"/>
          <w:sz w:val="24"/>
        </w:rPr>
        <w:fldChar w:fldCharType="begin" w:fldLock="1"/>
      </w:r>
      <w:r w:rsidRPr="00264A18">
        <w:rPr>
          <w:rFonts w:ascii="Times" w:hAnsi="Times"/>
          <w:sz w:val="24"/>
        </w:rP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"10.1016/j.marpolbul.2012.07.043", "ISSN" : "1879-3363", "PMID" : "22921897", "abstract" : "Most calcifying organisms show depressed metabolic, growth and calcification rates as symptoms to high-CO(2) due to ocean acidification (OA) process. Analysis of the global expression pattern of proteins (proteome analysis) represents a powerful tool to examine these physiological symptoms at molecular level, but its applications are inadequate. To address this knowledge gap, 2-DE coupled with mass spectrophotometer was used to compare the global protein expression pattern of oyster larvae exposed to ambient and to high-CO(2). Exposure to OA resulted in marked reduction of global protein expression with a decrease or loss of 71 proteins (18% of the expressed proteins in control), indicating a wide-spread depression of metabolic genes expression in larvae reared under OA. This is, to our knowledge, the first proteome analysis that provides insights into the link between physiological suppression and protein down-regulation under OA in oyster larvae.", "author" : [ { "dropping-particle" : "", "family" : "Dineshram", "given" : "R", "non-dropping-particle" : "", "parse-names" : false, "suffix" : "" }, { "dropping-particle" : "", "family" : "Wong", "given" : "Kelvin K W", "non-dropping-particle" : "", "parse-names" : false, "suffix" : "" }, { "dropping-particle" : "", "family" : "Xiao", "given" : "Shu", "non-dropping-particle" : "", "parse-names" : false, "suffix" : "" }, { "dropping-particle" : "", "family" : "Yu", "given" : "Ziniu", "non-dropping-particle" : "", "parse-names" : false, "suffix" : "" }, { "dropping-particle" : "", "family" : "Qian", "given" : "Pei Yuan", "non-dropping-particle" : "", "parse-names" : false, "suffix" : "" }, { "dropping-particle" : "", "family" : "Thiyagarajan", "given" : "Vengatesen", "non-dropping-particle" : "", "parse-names" : false, "suffix" : "" } ], "container-title" : "Marine pollution bulletin", "id" : "ITEM-2", "issue" : "10", "issued" : { "date-parts" : [ [ "2012", "10" ] ] }, "page" : "2160-7", "publisher" : "Elsevier Ltd", "title" : "Analysis of Pacific oyster larval proteome and its response to high-CO2.", "type" : "article-journal", "volume" : "64" }, "uris" : [ "http://www.mendeley.com/documents/?uuid=1db9b9bd-4d25-478c-9a83-bd008f052ff9" ] } ], "mendeley" : { "previouslyFormattedCitation" : "(Dineshram et al., 2012, 2013)"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(Dineshram et al., 2012, 2013)</w:t>
      </w:r>
      <w:r w:rsidRPr="00264A18">
        <w:rPr>
          <w:rFonts w:ascii="Times" w:hAnsi="Times"/>
          <w:sz w:val="24"/>
        </w:rPr>
        <w:fldChar w:fldCharType="end"/>
      </w:r>
      <w:r w:rsidRPr="00264A18">
        <w:rPr>
          <w:rFonts w:ascii="Times" w:hAnsi="Times"/>
          <w:sz w:val="24"/>
        </w:rPr>
        <w:t xml:space="preserve">, and larval tube worms </w:t>
      </w:r>
      <w:r w:rsidRPr="00264A18">
        <w:rPr>
          <w:rFonts w:ascii="Times" w:hAnsi="Times"/>
          <w:sz w:val="24"/>
        </w:rPr>
        <w:fldChar w:fldCharType="begin" w:fldLock="1"/>
      </w:r>
      <w:r w:rsidRPr="00264A18">
        <w:rPr>
          <w:rFonts w:ascii="Times" w:hAnsi="Times"/>
          <w:sz w:val="24"/>
        </w:rPr>
        <w:instrText>ADDIN CSL_CITATION { "citationItems" : [ { "id" : "ITEM-1", "itemData" : { "DOI" : "10.1242/jeb.094516", "ISSN" : "1477-9145", "PMID" : "24307710", "abstract" : "Calcifying marine invertebrates with complex life cycles are particularly at risk to climate changes as they undergo an abrupt ontogenetic shift during larval metamorphosis. Although our understanding of the larval response to climate changes is rapidly advancing, the proteome plasticity involved in a compensatory response to climate change is still unknown. In this study, we investigated the proteomic response of metamorphosing larvae of the tubeworm Hydroides elegans, challenged with two climate change stressors, ocean acidification (OA; pH 7.6) and hypoxia (HYP; 2.8 mg O2 l(-1)), and with both combined. Using a two-dimensional gel electrophoresis (2-DE)-based approach coupled with mass spectrometry, we found that climate change stressors did not affect metamorphosis except under OA, but altered the larval proteome and phosphorylation status. Metabolism and various stress and calcification-related proteins were downregulated in response to OA. In OA and HYP combined, HYP restored the expression of the calcification-related proteins to the control levels. We speculate that mild HYP stress could compensate for the negative effects of OA. This study also discusses the potential functions of selected proteins that might play important roles in larval acclimation and adaption to climate change.", "author" : [ { "dropping-particle" : "", "family" : "Mukherjee", "given" : "Joy", "non-dropping-particle" : "", "parse-names" : false, "suffix" : "" }, { "dropping-particle" : "", "family" : "Wong", "given" : "Kelvin K W", "non-dropping-particle" : "", "parse-names" : false, "suffix" : "" }, { "dropping-particle" : "", "family" : "Chandramouli", "given" : "Kondethimmanahalli H", "non-dropping-particle" : "", "parse-names" : false, "suffix" : "" }, { "dropping-particle" : "", "family" : "Qian", "given" : "Pei-Yuan", "non-dropping-particle" : "", "parse-names" : false, "suffix" : "" }, { "dropping-particle" : "", "family" : "Leung", "given" : "Priscilla T Y", "non-dropping-particle" : "", "parse-names" : false, "suffix" : "" }, { "dropping-particle" : "", "family" : "Wu", "given" : "Rudolf S S", "non-dropping-particle" : "", "parse-names" : false, "suffix" : "" }, { "dropping-particle" : "", "family" : "Thiyagarajan", "given" : "Vengatesen", "non-dropping-particle" : "", "parse-names" : false, "suffix" : "" } ], "container-title" : "The Journal of experimental biology", "id" : "ITEM-1", "issue" : "Pt 24", "issued" : { "date-parts" : [ [ "2013", "12", "15" ] ] }, "page" : "4580-9", "title" : "Proteomic response of marine invertebrate larvae to ocean acidification and hypoxia during metamorphosis and calcification.", "type" : "article-journal", "volume" : "216" }, "uris" : [ "http://www.mendeley.com/documents/?uuid=2dc28259-5cbc-4bcd-92d7-136d88e23827" ] } ], "mendeley" : { "previouslyFormattedCitation" : "(Mukherjee et al., 2013)"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(Mukherjee et al., 2013)</w:t>
      </w:r>
      <w:r w:rsidRPr="00264A18">
        <w:rPr>
          <w:rFonts w:ascii="Times" w:hAnsi="Times"/>
          <w:sz w:val="24"/>
        </w:rPr>
        <w:fldChar w:fldCharType="end"/>
      </w:r>
      <w:r w:rsidRPr="00264A18">
        <w:rPr>
          <w:rFonts w:ascii="Times" w:hAnsi="Times"/>
          <w:sz w:val="24"/>
        </w:rPr>
        <w:t xml:space="preserve">.  In the mantle tissue of </w:t>
      </w:r>
      <w:r w:rsidRPr="00264A18">
        <w:rPr>
          <w:rFonts w:ascii="Times" w:hAnsi="Times"/>
          <w:i/>
          <w:sz w:val="24"/>
        </w:rPr>
        <w:t>C. virginica</w:t>
      </w:r>
      <w:r w:rsidRPr="00264A18">
        <w:rPr>
          <w:rFonts w:ascii="Times" w:hAnsi="Times"/>
          <w:sz w:val="24"/>
        </w:rPr>
        <w:t xml:space="preserve">, proteins associated with energy metabolism (mitochondrial malate dehydrogenase, 40S ribosomal protein, and proteasome α type 3) were expressed at higher levels after exposure to low pH </w:t>
      </w:r>
      <w:r w:rsidRPr="00264A18">
        <w:rPr>
          <w:rFonts w:ascii="Times" w:hAnsi="Times"/>
          <w:sz w:val="24"/>
        </w:rPr>
        <w:fldChar w:fldCharType="begin" w:fldLock="1"/>
      </w:r>
      <w:r w:rsidRPr="00264A18">
        <w:rPr>
          <w:rFonts w:ascii="Times" w:hAnsi="Times"/>
          <w:sz w:val="24"/>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(Tomanek et al., 2011)</w:t>
      </w:r>
      <w:r w:rsidRPr="00264A18">
        <w:rPr>
          <w:rFonts w:ascii="Times" w:hAnsi="Times"/>
          <w:sz w:val="24"/>
        </w:rPr>
        <w:fldChar w:fldCharType="end"/>
      </w:r>
      <w:r w:rsidRPr="00264A18">
        <w:rPr>
          <w:rFonts w:ascii="Times" w:hAnsi="Times"/>
          <w:sz w:val="24"/>
        </w:rPr>
        <w:t>.  Most of these other studies revealed down-regulation of metabolic pathways, while we found a shift between different pathways, perhaps indicating preferred methods of metabolism during stress.  These slight differences in results may be due to life stage and tissue type or simply the increased sensitivity of using shotgun proteomics.</w:t>
      </w:r>
    </w:p>
    <w:p w14:paraId="2E495B6F" w14:textId="77777777" w:rsidR="00264A18" w:rsidRPr="00264A18" w:rsidRDefault="00264A18" w:rsidP="00264A18">
      <w:pPr>
        <w:pStyle w:val="normal0"/>
        <w:spacing w:line="360" w:lineRule="auto"/>
        <w:rPr>
          <w:rFonts w:ascii="Times" w:hAnsi="Times"/>
          <w:sz w:val="24"/>
        </w:rPr>
      </w:pPr>
    </w:p>
    <w:p w14:paraId="4F4582C5" w14:textId="77777777" w:rsidR="00264A18" w:rsidRPr="00264A18" w:rsidRDefault="00264A18" w:rsidP="00264A18">
      <w:pPr>
        <w:pStyle w:val="Heading4"/>
      </w:pPr>
      <w:r w:rsidRPr="00264A18">
        <w:t>Cellular stress</w:t>
      </w:r>
    </w:p>
    <w:p w14:paraId="47A84729" w14:textId="77777777" w:rsidR="00264A18" w:rsidRDefault="00264A18" w:rsidP="00264A18">
      <w:pPr>
        <w:pStyle w:val="normal0"/>
        <w:spacing w:line="360" w:lineRule="auto"/>
        <w:ind w:firstLine="720"/>
        <w:rPr>
          <w:rFonts w:ascii="Times" w:hAnsi="Times"/>
          <w:sz w:val="24"/>
        </w:rPr>
      </w:pPr>
    </w:p>
    <w:p w14:paraId="38B6AA6A" w14:textId="7777777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Elevated expression of antioxidant response proteins (two isoforms of glutathione S-transferase Ω-1) and cytochrome P450 1A5, which produces ROS, provided further evidence of increased oxidative metabolism.  The cellular need for an antioxidant response could arise from greater ROS generation during increased metabolism </w:t>
      </w:r>
      <w:r w:rsidRPr="00264A18">
        <w:rPr>
          <w:rFonts w:ascii="Times" w:hAnsi="Times"/>
          <w:sz w:val="24"/>
        </w:rPr>
        <w:fldChar w:fldCharType="begin" w:fldLock="1"/>
      </w:r>
      <w:r w:rsidRPr="00264A18">
        <w:rPr>
          <w:rFonts w:ascii="Times" w:hAnsi="Times"/>
          <w:sz w:val="24"/>
        </w:rPr>
        <w:instrText>ADDIN CSL_CITATION { "citationItems" : [ { "id" : "ITEM-1", "itemData" : { "author" : [ { "dropping-particle" : "", "family" : "Mohanty", "given" : "Priya", "non-dropping-particle" : "", "parse-names" : false, "suffix" : "" }, { "dropping-particle" : "", "family" : "Hamouda", "given" : "Wael", "non-dropping-particle" : "", "parse-names" : false, "suffix" : "" }, { "dropping-particle" : "", "family" : "Garg", "given" : "Rajesh", "non-dropping-particle" : "", "parse-names" : false, "suffix" : "" }, { "dropping-particle" : "", "family" : "Aljada", "given" : "Ahmad", "non-dropping-particle" : "", "parse-names" : false, "suffix" : "" }, { "dropping-particle" : "", "family" : "Ghanim", "given" : "Husam", "non-dropping-particle" : "", "parse-names" : false, "suffix" : "" }, { "dropping-particle" : "", "family" : "Dandona", "given" : "Paresh", "non-dropping-particle" : "", "parse-names" : false, "suffix" : "" } ], "container-title" : "The Journal of Clinical Endocrinology and Metabolism", "id" : "ITEM-1", "issue" : "8", "issued" : { "date-parts" : [ [ "2000" ] ] }, "page" : "2970-2973", "title" : "Glucose challenge stimulates reactive oxygen species (ROS) generation by leucocytes", "type" : "article-journal", "volume" : "85" }, "uris" : [ "http://www.mendeley.com/documents/?uuid=105e80dd-b140-4996-bdfa-a2c630d0c979" ] } ], "mendeley" : { "previouslyFormattedCitation" : "(Mohanty et al., 2000)"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(Mohanty et al., 2000)</w:t>
      </w:r>
      <w:r w:rsidRPr="00264A18">
        <w:rPr>
          <w:rFonts w:ascii="Times" w:hAnsi="Times"/>
          <w:sz w:val="24"/>
        </w:rPr>
        <w:fldChar w:fldCharType="end"/>
      </w:r>
      <w:r w:rsidRPr="00264A18">
        <w:rPr>
          <w:rFonts w:ascii="Times" w:hAnsi="Times"/>
          <w:sz w:val="24"/>
        </w:rPr>
        <w:t xml:space="preserve"> or ocean acidification may directly lead to oxidative stress through elevated cellular CO</w:t>
      </w:r>
      <w:r w:rsidRPr="00264A18">
        <w:rPr>
          <w:rFonts w:ascii="Times" w:hAnsi="Times"/>
          <w:sz w:val="24"/>
          <w:vertAlign w:val="subscript"/>
        </w:rPr>
        <w:t>2</w:t>
      </w:r>
      <w:r w:rsidRPr="00264A18">
        <w:rPr>
          <w:rFonts w:ascii="Times" w:hAnsi="Times"/>
          <w:sz w:val="24"/>
        </w:rPr>
        <w:t xml:space="preserve"> and H</w:t>
      </w:r>
      <w:r w:rsidRPr="00264A18">
        <w:rPr>
          <w:rFonts w:ascii="Times" w:hAnsi="Times"/>
          <w:sz w:val="24"/>
          <w:vertAlign w:val="superscript"/>
        </w:rPr>
        <w:t>+</w:t>
      </w:r>
      <w:r w:rsidRPr="00264A18">
        <w:rPr>
          <w:rFonts w:ascii="Times" w:hAnsi="Times"/>
          <w:sz w:val="24"/>
        </w:rPr>
        <w:t xml:space="preserve"> </w:t>
      </w:r>
      <w:r w:rsidRPr="00264A18">
        <w:rPr>
          <w:rFonts w:ascii="Times" w:hAnsi="Times"/>
          <w:sz w:val="24"/>
        </w:rPr>
        <w:fldChar w:fldCharType="begin" w:fldLock="1"/>
      </w:r>
      <w:r w:rsidRPr="00264A18">
        <w:rPr>
          <w:rFonts w:ascii="Times" w:hAnsi="Times"/>
          <w:sz w:val="24"/>
        </w:rPr>
        <w:instrText>ADDIN CSL_CITATION { "citationItems" : [ { "id" : "ITEM-1", "itemData" : { "DOI" : "10.1152/japplphysiol.01337.2009.", "author" : [ { "dropping-particle" : "", "family" : "Dean", "given" : "Jay B", "non-dropping-particle" : "", "parse-names" : false, "suffix" : "" } ], "id" : "ITEM-1", "issued" : { "date-parts" : [ [ "2010" ] ] }, "page" : "1786-1795", "title" : "Hypercapnia causes cellular oxidation and nitrosation in addition to acidosis : implications for CO 2 chemoreceptor function and dysfunction", "type" : "article-journal" }, "uris" : [ "http://www.mendeley.com/documents/?uuid=370872bc-2bb1-43e2-8414-199bcd433f14"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"(Dean, 2010; Tomanek et al., 2011)", "previouslyFormattedCitation" : "(Dean, 2010; Tomanek et al., 2011)"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(Dean, 2010; Tomanek et al., 2011)</w:t>
      </w:r>
      <w:r w:rsidRPr="00264A18">
        <w:rPr>
          <w:rFonts w:ascii="Times" w:hAnsi="Times"/>
          <w:sz w:val="24"/>
        </w:rPr>
        <w:fldChar w:fldCharType="end"/>
      </w:r>
      <w:r w:rsidRPr="00264A18">
        <w:rPr>
          <w:rFonts w:ascii="Times" w:hAnsi="Times"/>
          <w:sz w:val="24"/>
        </w:rPr>
        <w:t xml:space="preserve">.  Perhaps as a result of increased oxidative stress, the apoptotic response was also elevated.  Nucleoside diphosphate kinase homolog 5, a protein that prevents apoptosis, was expressed at lower levels at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Additionally, autophagy was increased through the relatively greater expression of CDGSH iron-sulfur domain-containing protein 2.  Evidence of oxidative stress at the protein/gene level </w:t>
      </w:r>
      <w:r w:rsidRPr="00264A18">
        <w:rPr>
          <w:rFonts w:ascii="Times" w:hAnsi="Times"/>
          <w:sz w:val="24"/>
        </w:rPr>
        <w:fldChar w:fldCharType="begin" w:fldLock="1"/>
      </w:r>
      <w:r w:rsidRPr="00264A18">
        <w:rPr>
          <w:rFonts w:ascii="Times" w:hAnsi="Times"/>
          <w:sz w:val="24"/>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(Tomanek et al., 2011;</w:t>
      </w:r>
      <w:r w:rsidRPr="00264A18">
        <w:rPr>
          <w:rFonts w:ascii="Times" w:hAnsi="Times"/>
          <w:sz w:val="24"/>
        </w:rPr>
        <w:fldChar w:fldCharType="end"/>
      </w:r>
      <w:r w:rsidRPr="00264A18">
        <w:rPr>
          <w:rFonts w:ascii="Times" w:hAnsi="Times"/>
          <w:sz w:val="24"/>
        </w:rPr>
        <w:t xml:space="preserve"> </w:t>
      </w:r>
      <w:r w:rsidRPr="00264A18">
        <w:rPr>
          <w:rFonts w:ascii="Times" w:hAnsi="Times"/>
          <w:sz w:val="24"/>
        </w:rPr>
        <w:fldChar w:fldCharType="begin" w:fldLock="1"/>
      </w:r>
      <w:r w:rsidRPr="00264A18">
        <w:rPr>
          <w:rFonts w:ascii="Times" w:hAnsi="Times"/>
          <w:sz w:val="24"/>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Kaniewska et al., 2012</w:t>
      </w:r>
      <w:r w:rsidRPr="00264A18">
        <w:rPr>
          <w:rFonts w:ascii="Times" w:hAnsi="Times"/>
          <w:sz w:val="24"/>
        </w:rPr>
        <w:fldChar w:fldCharType="end"/>
      </w:r>
      <w:r w:rsidRPr="00264A18">
        <w:rPr>
          <w:rFonts w:ascii="Times" w:hAnsi="Times"/>
          <w:sz w:val="24"/>
        </w:rPr>
        <w:fldChar w:fldCharType="begin" w:fldLock="1"/>
      </w:r>
      <w:r w:rsidRPr="00264A18">
        <w:rPr>
          <w:rFonts w:ascii="Times" w:hAnsi="Times"/>
          <w:sz w:val="24"/>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 Clark et al., 2013)</w:t>
      </w:r>
      <w:r w:rsidRPr="00264A18">
        <w:rPr>
          <w:rFonts w:ascii="Times" w:hAnsi="Times"/>
          <w:sz w:val="24"/>
        </w:rPr>
        <w:fldChar w:fldCharType="end"/>
      </w:r>
      <w:r w:rsidRPr="00264A18">
        <w:rPr>
          <w:rFonts w:ascii="Times" w:hAnsi="Times"/>
          <w:sz w:val="24"/>
        </w:rPr>
        <w:t xml:space="preserve"> as well as apoptosis (Todgham and Hofmann 2009; Kaniewska et al. 2012) was also observed in other invertebrates exposed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The findings in this and in previous studies support the universal occurrence of increased oxidative stress during invertebrate exposure to ocean acidification.</w:t>
      </w:r>
    </w:p>
    <w:p w14:paraId="52B47F18" w14:textId="7777777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In the current study, a broad-scale increase in expression of chaperones and stress response proteins was observed (heat shock 70 kDa protein 4, HSP90 co-chaperone Cdc37, universal stress protein A-like protein, Hsc70-interacting protein, universal stress protein MSMEG_3950, and stress-induced-phosphoprotein 1), providing further evidence of increased cellular stress and damage during ocean acidification exposure.  These results contrast with other studies, which generally report decreased expression of cell stress proteins and genes in response to ocean acidification </w:t>
      </w:r>
      <w:r w:rsidRPr="00264A18">
        <w:rPr>
          <w:rFonts w:ascii="Times" w:hAnsi="Times"/>
          <w:sz w:val="24"/>
        </w:rPr>
        <w:fldChar w:fldCharType="begin" w:fldLock="1"/>
      </w:r>
      <w:r w:rsidRPr="00264A18">
        <w:rPr>
          <w:rFonts w:ascii="Times" w:hAnsi="Times"/>
          <w:sz w:val="24"/>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"ITEM-3", "issue" : "4", "issued" : { "date-parts" : [ [ "2012", "1" ] ] }, "page" : "e34659", "title" : "Major cellular and physiological impacts of ocean acidification on a reef building coral.", "type" : "article-journal", "volume" : "7" }, "uris" : [ "http://www.mendeley.com/documents/?uuid=a4472007-1317-48b8-af49-32594d1c1967" ] } ], "mendeley" : { "manualFormatting" : "(Kaniewska et al., 2012; Todgham and Hofmann, 2009; Wong et al., 2011)", "previouslyFormattedCitation" : "(Kaniewska et al., 2012; Todgham &amp; Hofmann, 2009; Wong et al., 2011)"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(Kaniewska et al., 2012; Todgham and Hofmann, 2009; Wong et al., 2011)</w:t>
      </w:r>
      <w:r w:rsidRPr="00264A18">
        <w:rPr>
          <w:rFonts w:ascii="Times" w:hAnsi="Times"/>
          <w:sz w:val="24"/>
        </w:rPr>
        <w:fldChar w:fldCharType="end"/>
      </w:r>
      <w:r w:rsidRPr="00264A18">
        <w:rPr>
          <w:rFonts w:ascii="Times" w:hAnsi="Times"/>
          <w:sz w:val="24"/>
        </w:rPr>
        <w:t xml:space="preserve">, however increased expression of hsp70 was reported in </w:t>
      </w:r>
      <w:r w:rsidRPr="00264A18">
        <w:rPr>
          <w:rFonts w:ascii="Times" w:hAnsi="Times"/>
          <w:i/>
          <w:sz w:val="24"/>
        </w:rPr>
        <w:t>C. gigas</w:t>
      </w:r>
      <w:r w:rsidRPr="00264A18">
        <w:rPr>
          <w:rFonts w:ascii="Times" w:hAnsi="Times"/>
          <w:sz w:val="24"/>
        </w:rPr>
        <w:t xml:space="preserve"> </w:t>
      </w:r>
      <w:r w:rsidRPr="00264A18">
        <w:rPr>
          <w:rFonts w:ascii="Times" w:hAnsi="Times"/>
          <w:sz w:val="24"/>
        </w:rPr>
        <w:fldChar w:fldCharType="begin" w:fldLock="1"/>
      </w:r>
      <w:r w:rsidRPr="00264A18">
        <w:rPr>
          <w:rFonts w:ascii="Times" w:hAnsi="Times"/>
          <w:sz w:val="24"/>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(Clark et al., 2013)</w:t>
      </w:r>
      <w:r w:rsidRPr="00264A18">
        <w:rPr>
          <w:rFonts w:ascii="Times" w:hAnsi="Times"/>
          <w:sz w:val="24"/>
        </w:rPr>
        <w:fldChar w:fldCharType="end"/>
      </w:r>
      <w:r w:rsidRPr="00264A18">
        <w:rPr>
          <w:rFonts w:ascii="Times" w:hAnsi="Times"/>
          <w:sz w:val="24"/>
        </w:rPr>
        <w:t xml:space="preserve">.  Some of these discrepancies among studies may be due to differences in life stage, tissue type, amount of food available, or equilibrium among transcription, translation, and post-translational modifications.  It is clear that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impacts the cellular stress response, but likely in a manner that addresses the changing physiological needs of the organism.</w:t>
      </w:r>
    </w:p>
    <w:p w14:paraId="717CACB5" w14:textId="77777777" w:rsidR="00264A18" w:rsidRPr="00264A18" w:rsidRDefault="00264A18" w:rsidP="00264A18">
      <w:pPr>
        <w:pStyle w:val="normal0"/>
        <w:spacing w:line="360" w:lineRule="auto"/>
        <w:ind w:firstLine="720"/>
        <w:rPr>
          <w:rFonts w:ascii="Times" w:hAnsi="Times"/>
          <w:sz w:val="24"/>
        </w:rPr>
      </w:pPr>
    </w:p>
    <w:p w14:paraId="56FA98A9" w14:textId="77777777" w:rsidR="00264A18" w:rsidRPr="00264A18" w:rsidRDefault="00264A18" w:rsidP="00264A18">
      <w:pPr>
        <w:pStyle w:val="Heading4"/>
      </w:pPr>
      <w:r w:rsidRPr="00264A18">
        <w:t>DNA repair, transcription, and translation</w:t>
      </w:r>
    </w:p>
    <w:p w14:paraId="1DBEDC51" w14:textId="77777777" w:rsidR="00264A18" w:rsidRDefault="00264A18" w:rsidP="00264A18">
      <w:pPr>
        <w:pStyle w:val="normal0"/>
        <w:spacing w:line="360" w:lineRule="auto"/>
        <w:rPr>
          <w:rFonts w:ascii="Times" w:hAnsi="Times"/>
          <w:sz w:val="24"/>
        </w:rPr>
      </w:pPr>
    </w:p>
    <w:p w14:paraId="66BF5D70" w14:textId="77777777" w:rsidR="00264A18" w:rsidRPr="00264A18" w:rsidRDefault="00264A18" w:rsidP="00264A18">
      <w:pPr>
        <w:pStyle w:val="normal0"/>
        <w:spacing w:line="360" w:lineRule="auto"/>
        <w:rPr>
          <w:rFonts w:ascii="Times" w:hAnsi="Times"/>
          <w:sz w:val="24"/>
        </w:rPr>
      </w:pPr>
      <w:r w:rsidRPr="00264A18">
        <w:rPr>
          <w:rFonts w:ascii="Times" w:hAnsi="Times"/>
          <w:sz w:val="24"/>
        </w:rPr>
        <w:tab/>
        <w:t xml:space="preserve">There were widespread changes in proteins involved in DNA repair, transcription, and translation in oysters exposed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illustrating a significant molecular response to the physiological effects of ocean acidification.  At the nucleotide level, changes in protein expression included decreased nucleoside metabolism (purine nucleoside phosphorylase) and differential expression of proteins associated with nucleotide metabolism (nicotinamide riboside kinase 1 and adenylosuccinate lyase).  Concurrently, DNA repair proteins were expressed at lower levels in high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-exposed oysters (poly [ADP-ribose] polymerase 3, RuvB-like 2, and X-ray repair cross-complementing protein 5), seven cell growth proteins were differentially expressed (three at increased levels: hemicentin-1, thymidine phosphorylase, and tyrosine protein kinase yes), and one DNA synthesis protein had elevated expression (prohibitin).  One hypothesis for this observation is that the decrease in DNA repair proteins coupled with changes in nucleotide metabolism and DNA synthesis may indicate a shift towards cell growth and DNA synthesis over repairing DNA damaged by increased oxidative stress.  </w:t>
      </w:r>
    </w:p>
    <w:p w14:paraId="56708DEB" w14:textId="7777777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Expression of proteins associated with transcription and translation would necessarily change in order to support the myriad other molecular responses to ocean acidification.  The importance of these processes is reflected in the enrichment of proteins associated with transcription in the differentially expressed proteins in response to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mechanical stimulation, and both stressors at once. In ocean acidification-exposed oysters, twenty-two proteins associated with transcription and mRNA processing were differentially expressed.  In terms of protein synthesis and degradation, six proteins associated with amino acid metabolism were differentially expressed: two were expressed at lower levels at in 2800 μatm-exposed oysters (amidohydrolase ytcJ and betaine-homocysteine S-methyltransferase 1) and four had elevated expression (aminoacylase-1, dihydrolipoyl dehydrogenase, glutaryl-CoA dehydrogenase, and C-1-tetrahydrofolate synthase).  Twenty-three proteins involved in protein synthesis and translation were differentially expressed and eleven proteins associated with protein degradation underwent significant changes in expression, including increased expression of two that prevent protein degradation (cystatin-B, ubiquitin caroxyl-terminal hydrolase FAF-X).  In larval sea urchins, genes in associated with translation decreased expression in response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w:t>
      </w:r>
      <w:r w:rsidRPr="00264A18">
        <w:rPr>
          <w:rFonts w:ascii="Times" w:hAnsi="Times"/>
          <w:sz w:val="24"/>
        </w:rPr>
        <w:fldChar w:fldCharType="begin" w:fldLock="1"/>
      </w:r>
      <w:r w:rsidRPr="00264A18">
        <w:rPr>
          <w:rFonts w:ascii="Times" w:hAnsi="Times"/>
          <w:sz w:val="24"/>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(Todgham and Hofmann, 2009)</w:t>
      </w:r>
      <w:r w:rsidRPr="00264A18">
        <w:rPr>
          <w:rFonts w:ascii="Times" w:hAnsi="Times"/>
          <w:sz w:val="24"/>
        </w:rPr>
        <w:fldChar w:fldCharType="end"/>
      </w:r>
      <w:r w:rsidRPr="00264A18">
        <w:rPr>
          <w:rFonts w:ascii="Times" w:hAnsi="Times"/>
          <w:sz w:val="24"/>
        </w:rPr>
        <w:t xml:space="preserve">, while in larval barnacles and adult </w:t>
      </w:r>
      <w:r w:rsidRPr="00264A18">
        <w:rPr>
          <w:rFonts w:ascii="Times" w:hAnsi="Times"/>
          <w:i/>
          <w:sz w:val="24"/>
        </w:rPr>
        <w:t>C. virginica</w:t>
      </w:r>
      <w:r w:rsidRPr="00264A18">
        <w:rPr>
          <w:rFonts w:ascii="Times" w:hAnsi="Times"/>
          <w:sz w:val="24"/>
        </w:rPr>
        <w:t xml:space="preserve"> these proteins increased expression </w:t>
      </w:r>
      <w:r w:rsidRPr="00264A18">
        <w:rPr>
          <w:rFonts w:ascii="Times" w:hAnsi="Times"/>
          <w:sz w:val="24"/>
        </w:rPr>
        <w:fldChar w:fldCharType="begin" w:fldLock="1"/>
      </w:r>
      <w:r w:rsidRPr="00264A18">
        <w:rPr>
          <w:rFonts w:ascii="Times" w:hAnsi="Times"/>
          <w:sz w:val="24"/>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Wong et al., 2011)"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(Tomanek et al., 2011; Wong et al., 2011)</w:t>
      </w:r>
      <w:r w:rsidRPr="00264A18">
        <w:rPr>
          <w:rFonts w:ascii="Times" w:hAnsi="Times"/>
          <w:sz w:val="24"/>
        </w:rPr>
        <w:fldChar w:fldCharType="end"/>
      </w:r>
      <w:r w:rsidRPr="00264A18">
        <w:rPr>
          <w:rFonts w:ascii="Times" w:hAnsi="Times"/>
          <w:sz w:val="24"/>
        </w:rPr>
        <w:t>.  Transcription and translation are the processes that support all other molecular and phenotypic changes.  The large number of differentially expressed proteins involved in these processes illustrates their integral role in responding to environmental stress.</w:t>
      </w:r>
    </w:p>
    <w:p w14:paraId="3701505B" w14:textId="77777777" w:rsidR="00264A18" w:rsidRPr="00264A18" w:rsidRDefault="00264A18" w:rsidP="00264A18">
      <w:pPr>
        <w:pStyle w:val="normal0"/>
        <w:spacing w:line="360" w:lineRule="auto"/>
        <w:rPr>
          <w:rFonts w:ascii="Times" w:hAnsi="Times"/>
          <w:sz w:val="24"/>
        </w:rPr>
      </w:pPr>
    </w:p>
    <w:p w14:paraId="487480AF" w14:textId="77777777" w:rsidR="00264A18" w:rsidRPr="00264A18" w:rsidRDefault="00264A18" w:rsidP="00264A18">
      <w:pPr>
        <w:pStyle w:val="Heading3"/>
      </w:pPr>
      <w:bookmarkStart w:id="75" w:name="_Toc252110027"/>
      <w:r w:rsidRPr="00264A18">
        <w:t>The effects of pCO</w:t>
      </w:r>
      <w:r w:rsidRPr="00264A18">
        <w:rPr>
          <w:vertAlign w:val="subscript"/>
        </w:rPr>
        <w:t>2</w:t>
      </w:r>
      <w:r w:rsidRPr="00264A18">
        <w:t xml:space="preserve"> on the stress response</w:t>
      </w:r>
      <w:bookmarkEnd w:id="75"/>
    </w:p>
    <w:p w14:paraId="3E16E2E5" w14:textId="77777777" w:rsidR="00264A18" w:rsidRDefault="00264A18" w:rsidP="00264A18">
      <w:pPr>
        <w:pStyle w:val="normal0"/>
        <w:spacing w:line="360" w:lineRule="auto"/>
        <w:ind w:firstLine="720"/>
        <w:rPr>
          <w:rFonts w:ascii="Times" w:hAnsi="Times"/>
          <w:sz w:val="24"/>
        </w:rPr>
      </w:pPr>
    </w:p>
    <w:p w14:paraId="38799A4F" w14:textId="7777777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alone may be a stressor for many species, but it may also impair the ability to respond to other physical, chemical, or biological stressors.  To investigate the ability of an organism to respond to stressors under ocean acidification conditions, we subjected oysters to mechanical stimulation.  Qualitative differences between the proteomic responses to mechanical stimulation at 400 and 2800 µatm were reflected in the enrichment analysis, which identified differences between treatment groups at the process level.  At 400 µatm, RNA metabolic process, transcription, and gamete generation were enriched in the response to mechanical stimulation.  At 2800 µatm a different set of processes were enriched: polysaccharide biosynthesis, polysaccharide metabolic process, and transcription.  </w:t>
      </w:r>
    </w:p>
    <w:p w14:paraId="2C218F49" w14:textId="7777777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At the metabolic pathway level, there were different proteomic responses to mechanical stimulation between the </w:t>
      </w:r>
      <w:proofErr w:type="gramStart"/>
      <w:r w:rsidRPr="00264A18">
        <w:rPr>
          <w:rFonts w:ascii="Times" w:hAnsi="Times"/>
          <w:sz w:val="24"/>
        </w:rPr>
        <w:t xml:space="preserve">two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proofErr w:type="gramEnd"/>
      <w:r w:rsidRPr="00264A18">
        <w:rPr>
          <w:rFonts w:ascii="Times" w:hAnsi="Times"/>
          <w:sz w:val="24"/>
        </w:rPr>
        <w:t xml:space="preserve"> treatments.  At low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(400 µatm) seven proteins involved in carbohydrate metabolism were expressed at higher levels upon mechanical stimulation and seven were expressed at lower levels.  In contrast, at 2800 µatm nine proteins associated with carbohydrate metabolism had increased expression and only </w:t>
      </w:r>
      <w:proofErr w:type="gramStart"/>
      <w:r w:rsidRPr="00264A18">
        <w:rPr>
          <w:rFonts w:ascii="Times" w:hAnsi="Times"/>
          <w:sz w:val="24"/>
        </w:rPr>
        <w:t>four decreased</w:t>
      </w:r>
      <w:proofErr w:type="gramEnd"/>
      <w:r w:rsidRPr="00264A18">
        <w:rPr>
          <w:rFonts w:ascii="Times" w:hAnsi="Times"/>
          <w:sz w:val="24"/>
        </w:rPr>
        <w:t xml:space="preserve"> expression after mechanical stimulation.  Specifically, in the mechanically stimulated 2800 µatm-exposed oysters, there was increased expression of proteins that convert stored glycogen into glucose (glycogen debranching enzyme, lysosomal α-glucosidase, and glycogenin-1) as well as proteins involved in gluconeogenesis (glucose-6-phosphate isomerase and serine-pyruvate aminotransferase).  Rapid mobilization of glycogen stores to make glucose is a common physiological response to stress.    In food-stressed rainbow trout an additional handling stress caused a rapid decrease in liver glycogen and increase in plasma glucose </w:t>
      </w:r>
      <w:r w:rsidRPr="00264A18">
        <w:rPr>
          <w:rFonts w:ascii="Times" w:hAnsi="Times"/>
          <w:sz w:val="24"/>
        </w:rPr>
        <w:fldChar w:fldCharType="begin" w:fldLock="1"/>
      </w:r>
      <w:r w:rsidRPr="00264A18">
        <w:rPr>
          <w:rFonts w:ascii="Times" w:hAnsi="Times"/>
          <w:sz w:val="24"/>
        </w:rPr>
        <w:instrText>ADDIN CSL_CITATION { "citationItems" : [ { "id" : "ITEM-1", "itemData" : { "author" : [ { "dropping-particle" : "", "family" : "Vijayan", "given" : "M.M.", "non-dropping-particle" : "", "parse-names" : false, "suffix" : "" }, { "dropping-particle" : "", "family" : "Moon", "given" : "T.W.", "non-dropping-particle" : "", "parse-names" : false, "suffix" : "" } ], "container-title" : "Canadian Journal of Fisheries and Aquatic Sciences", "id" : "ITEM-1", "issued" : { "date-parts" : [ [ "1992" ] ] }, "page" : "2260-2266", "title" : "Acute Handling Stress Alters Hepatic Glycogen Metabolism in Food-Deprived Rainbow Trout (Oncorhynchus mykiss)", "type" : "article-journal", "volume" : "49" }, "uris" : [ "http://www.mendeley.com/documents/?uuid=62760f80-1761-4b7b-b3d2-c1f96fd4fa74" ] } ], "mendeley" : { "previouslyFormattedCitation" : "(Vijayan &amp; Moon, 1992)"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(Vijayan &amp; Moon, 1992)</w:t>
      </w:r>
      <w:r w:rsidRPr="00264A18">
        <w:rPr>
          <w:rFonts w:ascii="Times" w:hAnsi="Times"/>
          <w:sz w:val="24"/>
        </w:rPr>
        <w:fldChar w:fldCharType="end"/>
      </w:r>
      <w:r w:rsidRPr="00264A18">
        <w:rPr>
          <w:rFonts w:ascii="Times" w:hAnsi="Times"/>
          <w:sz w:val="24"/>
        </w:rPr>
        <w:t xml:space="preserve">.  The same exogenous stress in oysters held at low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prompted a decrease in expression of proteins associated with carbohydrate metabolism and gluconeogenesis (neutral α-glucosidase AB, glucose-5-phosphate isomerase, and α-N-acetylgalactosaminidase) as well as increased expression of a protein in the glycogen synthesis pathway (putative glycogen [starch] synthase), implying a relatively decreased need for readily available carbohydrate resources.  At both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fewer lipid metabolism proteins were differentially expressed (four differentially expressed proteins at 400 µatm and three at 2800 µatm) compared to carbohydrate metabolism.  Mechanical stimulation is a transient stress and carbohydrates represent a more readily available resource compared to lipids for a short-term response.    The different changes observed in response to mechanical stimulation illustrate that an additional stress at high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necessitated greater resource use and a need to access energy reserves.  Given the resources needed to sustain a response to an environmental stress, this increase in energetic demand could be detrimental.  </w:t>
      </w:r>
    </w:p>
    <w:p w14:paraId="1E829B0B" w14:textId="77777777"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In contrast to the proteomic response to mechanical stimulation at 400 µatm, oysters from the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treatment had decreased expression of many proteins associated with oxidative metabolism and had a much larger antioxidant response.  Four mitochondrial NADH dehydrogenases were expressed at lower levels after mechanical stimulation in the high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oysters, while at low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three were expressed at higher levels and one was decreased.  Expression levels of cytochrome b-c1 complex, cytochrome c, and cytochrome c oxidase subunit 5B were elevated in the 2800 µatm after mechanical stress (and were not affected at low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These expression changes suggest that at high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mechanical stress caused a decrease in electron supply from NADH to the electron transport chain (ETC) but an increase in the transfer of electrons to the terminal oxidase, while at low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more electrons entered the ETC from NADH.  In marine invertebrates ROS production occurs during forward electron transport (reviewed in </w:t>
      </w:r>
      <w:r w:rsidRPr="00264A18">
        <w:rPr>
          <w:rFonts w:ascii="Times" w:hAnsi="Times"/>
          <w:sz w:val="24"/>
        </w:rPr>
        <w:fldChar w:fldCharType="begin" w:fldLock="1"/>
      </w:r>
      <w:r w:rsidRPr="00264A18">
        <w:rPr>
          <w:rFonts w:ascii="Times" w:hAnsi="Times"/>
          <w:sz w:val="24"/>
        </w:rPr>
        <w:instrText>ADDIN CSL_CITATION { "citationItems" : [ { "id" : "ITEM-1", "itemData" : { "author" : [ { "dropping-particle" : "", "family" : "Abele", "given" : "Doris", "non-dropping-particle" : "", "parse-names" : false, "suffix" : "" }, { "dropping-particle" : "", "family" : "Philipp", "given" : "Eva", "non-dropping-particle" : "", "parse-names" : false, "suffix" : "" }, { "dropping-particle" : "", "family" : "Gonzalez", "given" : "Paula M.", "non-dropping-particle" : "", "parse-names" : false, "suffix" : "" }, { "dropping-particle" : "", "family" : "Puntarulo", "given" : "Susana", "non-dropping-particle" : "", "parse-names" : false, "suffix" : "" } ], "container-title" : "Frontiers in Bioscience", "id" : "ITEM-1", "issued" : { "date-parts" : [ [ "2007" ] ] }, "page" : "933-946", "title" : "Marine invertebrate mitochondria and oxidative stress", "type" : "article-journal", "volume" : "12" }, "uris" : [ "http://www.mendeley.com/documents/?uuid=159a7a67-e165-4691-9792-f435eb5244f5" ] } ], "mendeley" : { "manualFormatting" : "Abele et al., 2007)", "previouslyFormattedCitation" : "(Abele, Philipp, Gonzalez, &amp; Puntarulo, 2007)" }, "properties" : { "noteIndex" : 0 }, "schema" : "https://github.com/citation-style-language/schema/raw/master/csl-citation.json" }</w:instrText>
      </w:r>
      <w:r w:rsidRPr="00264A18">
        <w:rPr>
          <w:rFonts w:ascii="Times" w:hAnsi="Times"/>
          <w:sz w:val="24"/>
        </w:rPr>
        <w:fldChar w:fldCharType="separate"/>
      </w:r>
      <w:r w:rsidRPr="00264A18">
        <w:rPr>
          <w:rFonts w:ascii="Times" w:hAnsi="Times"/>
          <w:noProof/>
          <w:sz w:val="24"/>
        </w:rPr>
        <w:t>Abele et al., 2007)</w:t>
      </w:r>
      <w:r w:rsidRPr="00264A18">
        <w:rPr>
          <w:rFonts w:ascii="Times" w:hAnsi="Times"/>
          <w:sz w:val="24"/>
        </w:rPr>
        <w:fldChar w:fldCharType="end"/>
      </w:r>
      <w:r w:rsidRPr="00264A18">
        <w:rPr>
          <w:rFonts w:ascii="Times" w:hAnsi="Times"/>
          <w:sz w:val="24"/>
        </w:rPr>
        <w:t xml:space="preserve"> and a decrease in electron supply may be a physiological compensation against further ROS production.  Greater oxidative stress at high versus low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was also evidenced by the increased expression of five antioxidant response proteins upon mechanical stimulation at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(glutathione S-transferase (GST) A, GST 3, GST μ 3, thioredoxin domain-containing protein 17, and dual oxidase 2) compared to just one protein at low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(GST Ω-1).  These changes are further evidence that ocean acidification </w:t>
      </w:r>
      <w:proofErr w:type="gramStart"/>
      <w:r w:rsidRPr="00264A18">
        <w:rPr>
          <w:rFonts w:ascii="Times" w:hAnsi="Times"/>
          <w:sz w:val="24"/>
        </w:rPr>
        <w:t>alters</w:t>
      </w:r>
      <w:proofErr w:type="gramEnd"/>
      <w:r w:rsidRPr="00264A18">
        <w:rPr>
          <w:rFonts w:ascii="Times" w:hAnsi="Times"/>
          <w:sz w:val="24"/>
        </w:rPr>
        <w:t xml:space="preserve"> the cellular balance between energy resource supply and oxidative stress, especially upon exposure to an additional exogenous stressor.</w:t>
      </w:r>
    </w:p>
    <w:p w14:paraId="1382BF54" w14:textId="4130D23D" w:rsidR="00264A18" w:rsidRPr="00264A18" w:rsidRDefault="00264A18" w:rsidP="00264A18">
      <w:pPr>
        <w:pStyle w:val="normal0"/>
        <w:spacing w:line="360" w:lineRule="auto"/>
        <w:ind w:firstLine="720"/>
        <w:rPr>
          <w:rFonts w:ascii="Times" w:hAnsi="Times"/>
          <w:sz w:val="24"/>
        </w:rPr>
      </w:pPr>
      <w:r w:rsidRPr="00264A18">
        <w:rPr>
          <w:rFonts w:ascii="Times" w:hAnsi="Times"/>
          <w:sz w:val="24"/>
        </w:rPr>
        <w:t xml:space="preserve">Ocean acidification appears to significantly impact apoptotic and cellular stress responses of oysters exposed to mechanical stress (Figure </w:t>
      </w:r>
      <w:r w:rsidR="00AC2902">
        <w:rPr>
          <w:rFonts w:ascii="Times" w:hAnsi="Times"/>
          <w:sz w:val="24"/>
        </w:rPr>
        <w:t>III.</w:t>
      </w:r>
      <w:r w:rsidRPr="00264A18">
        <w:rPr>
          <w:rFonts w:ascii="Times" w:hAnsi="Times"/>
          <w:sz w:val="24"/>
        </w:rPr>
        <w:t>S3).</w:t>
      </w:r>
      <w:r w:rsidRPr="00264A18">
        <w:rPr>
          <w:rFonts w:ascii="Times" w:hAnsi="Times"/>
          <w:b/>
          <w:sz w:val="24"/>
        </w:rPr>
        <w:t xml:space="preserve"> </w:t>
      </w:r>
      <w:r w:rsidRPr="00264A18">
        <w:rPr>
          <w:rFonts w:ascii="Times" w:hAnsi="Times"/>
          <w:sz w:val="24"/>
        </w:rPr>
        <w:t xml:space="preserve"> Mechanical stimulation elicited a larger response in apoptosis pathways at 400 µatm with differential expression of five proteins (programmed cell death protein 5, CDGSH iron-sulfur domain-containing protein 2, histidine triad nucleotide-binding protein 1, EF-hand domain-containing protein D2, and programmed cell death protein 6).  At 2800 µatm only two proteins involved in apoptosis were differentially expressed: caspase-7 decreased expression and engulfment cell motility protein 2 increased expression.  Five cell stress response proteins increased expression upon mechanical stimulation in 400 µatm-exposed oysters (protein </w:t>
      </w:r>
      <w:proofErr w:type="gramStart"/>
      <w:r w:rsidRPr="00264A18">
        <w:rPr>
          <w:rFonts w:ascii="Times" w:hAnsi="Times"/>
          <w:sz w:val="24"/>
        </w:rPr>
        <w:t>lethal(</w:t>
      </w:r>
      <w:proofErr w:type="gramEnd"/>
      <w:r w:rsidRPr="00264A18">
        <w:rPr>
          <w:rFonts w:ascii="Times" w:hAnsi="Times"/>
          <w:sz w:val="24"/>
        </w:rPr>
        <w:t xml:space="preserve">2)essential for life, hsp90 co-chaperone Cdc37, Hsc70-interacting protein, and universal stress proteins A-like and MSMEG_3950), while four increased in expression in the 2800 µatm-exposed (Hsp90 co-chaperone Cdc37, MAP kinase-activated protein kinase 2, heat shock 70 kDa protein 12B, and universal stress protein S||1388).  These data suggest that mechanical stress is associated with apoptosis, which would be consistent with cell damage.  However, apoptosis and the cellular stress response follow slightly different trajectories in response to mechanical stimulation at different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perhaps reflecting different resource availability in responding to the cellular damage inflicted by the additional stress.  Changes to the normal apoptotic and stress responses could be detrimental to oysters, highlighting the importance of considering other environmental conditions when examining biological impacts of ocean acidification. </w:t>
      </w:r>
    </w:p>
    <w:p w14:paraId="6475ABD5" w14:textId="19F2B430" w:rsidR="00071B1D" w:rsidRPr="00264A18" w:rsidRDefault="00264A18" w:rsidP="00264A18">
      <w:pPr>
        <w:spacing w:line="360" w:lineRule="auto"/>
        <w:ind w:firstLine="720"/>
        <w:rPr>
          <w:rFonts w:ascii="Times" w:hAnsi="Times"/>
        </w:rPr>
      </w:pPr>
      <w:r w:rsidRPr="00264A18">
        <w:rPr>
          <w:rFonts w:ascii="Times" w:hAnsi="Times"/>
        </w:rPr>
        <w:t xml:space="preserve">Stress from mechanical stimulation impacted expression of proteins involved in many of the processes that were influenced by elevated </w:t>
      </w:r>
      <w:r w:rsidRPr="00264A18">
        <w:rPr>
          <w:rFonts w:ascii="Times" w:hAnsi="Times"/>
          <w:i/>
        </w:rPr>
        <w:t>p</w:t>
      </w:r>
      <w:r w:rsidRPr="00264A18">
        <w:rPr>
          <w:rFonts w:ascii="Times" w:hAnsi="Times"/>
        </w:rPr>
        <w:t>CO</w:t>
      </w:r>
      <w:r w:rsidRPr="00264A18">
        <w:rPr>
          <w:rFonts w:ascii="Times" w:hAnsi="Times"/>
          <w:vertAlign w:val="subscript"/>
        </w:rPr>
        <w:t>2</w:t>
      </w:r>
      <w:r w:rsidRPr="00264A18">
        <w:rPr>
          <w:rFonts w:ascii="Times" w:hAnsi="Times"/>
        </w:rPr>
        <w:t>, further illustrating the potential synergistic impacts of these two stressors on oyster physiology.  Together these protein expression patterns indicate the complex nature of how multiple stressors influence physiology and how exposure to additional stressors (i.e. increased temperature or disease exposure) in combination with ocean acidification could have significant implications for survival and potential for adaptation.</w:t>
      </w:r>
    </w:p>
    <w:p w14:paraId="7A9F1508" w14:textId="43F6C233" w:rsidR="00071B1D" w:rsidRDefault="00071B1D" w:rsidP="00071B1D">
      <w:pPr>
        <w:pStyle w:val="Heading3"/>
      </w:pPr>
      <w:bookmarkStart w:id="76" w:name="_Toc252110028"/>
      <w:r>
        <w:t>Conclusion</w:t>
      </w:r>
      <w:bookmarkEnd w:id="76"/>
    </w:p>
    <w:p w14:paraId="219066E8" w14:textId="77777777" w:rsidR="00C85C10" w:rsidRPr="00C85C10" w:rsidRDefault="00C85C10" w:rsidP="00C85C10"/>
    <w:p w14:paraId="7C09BA8B" w14:textId="431A69BE" w:rsidR="00071B1D" w:rsidRDefault="00264A18" w:rsidP="00071B1D">
      <w:pPr>
        <w:pStyle w:val="normal0"/>
        <w:spacing w:line="360" w:lineRule="auto"/>
        <w:ind w:firstLine="720"/>
        <w:rPr>
          <w:rFonts w:ascii="Times" w:hAnsi="Times"/>
          <w:sz w:val="24"/>
        </w:rPr>
      </w:pPr>
      <w:r w:rsidRPr="00264A18">
        <w:rPr>
          <w:rFonts w:ascii="Times" w:hAnsi="Times"/>
          <w:sz w:val="24"/>
        </w:rPr>
        <w:t xml:space="preserve">Ocean acidification is frequently portrayed as being detrimental to marine calcifiers, but its effects on invertebrates range well beyond changes to the calcification process.  In this study, a wide variety of processes and responses were assessed in the Pacific oyster’s response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to better understand the physiological trade-offs that occur during this particular stress response.  Shell growth was not affected by ocean acidification after one month, but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 xml:space="preserve">did affect the integrity of the deposited shell material.  Relative amounts of fatty acids, which are necessary for continued survival and execution of other energy-consuming processes, were also unaltered at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Mortality in response to acute heat shock remained unaffected as well. The proteomic profile of </w:t>
      </w:r>
      <w:r w:rsidRPr="00264A18">
        <w:rPr>
          <w:rFonts w:ascii="Times" w:hAnsi="Times"/>
          <w:i/>
          <w:sz w:val="24"/>
        </w:rPr>
        <w:t>C. gigas</w:t>
      </w:r>
      <w:r w:rsidRPr="00264A18">
        <w:rPr>
          <w:rFonts w:ascii="Times" w:hAnsi="Times"/>
          <w:sz w:val="24"/>
        </w:rPr>
        <w:t xml:space="preserve"> gill tissue was significantly altered by ocean acidification, elucidating the molecular physiological costs of elevated environmental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From a proteomics perspective, ocean acidification also affected </w:t>
      </w:r>
      <w:r w:rsidRPr="00264A18">
        <w:rPr>
          <w:rFonts w:ascii="Times" w:hAnsi="Times"/>
          <w:i/>
          <w:sz w:val="24"/>
        </w:rPr>
        <w:t>C. gigas</w:t>
      </w:r>
      <w:r w:rsidRPr="00264A18">
        <w:rPr>
          <w:rFonts w:ascii="Times" w:hAnsi="Times"/>
          <w:sz w:val="24"/>
        </w:rPr>
        <w:t xml:space="preserve">’s response to an additional stress event.  Shell integrity and response to a second stress become important in a dynamic environment, and in this way ocean acidification may decrease </w:t>
      </w:r>
      <w:r w:rsidRPr="00264A18">
        <w:rPr>
          <w:rFonts w:ascii="Times" w:hAnsi="Times"/>
          <w:i/>
          <w:sz w:val="24"/>
        </w:rPr>
        <w:t>C. gigas</w:t>
      </w:r>
      <w:r w:rsidRPr="00264A18">
        <w:rPr>
          <w:rFonts w:ascii="Times" w:hAnsi="Times"/>
          <w:sz w:val="24"/>
        </w:rPr>
        <w:t xml:space="preserve"> fitness under chronic exposure.</w:t>
      </w:r>
      <w:r>
        <w:rPr>
          <w:rFonts w:ascii="Times" w:hAnsi="Times"/>
          <w:sz w:val="24"/>
        </w:rPr>
        <w:br/>
      </w:r>
    </w:p>
    <w:p w14:paraId="2F57434F" w14:textId="41BE048B" w:rsidR="00264A18" w:rsidRDefault="00264A18" w:rsidP="00264A18">
      <w:pPr>
        <w:pStyle w:val="Heading2"/>
      </w:pPr>
      <w:bookmarkStart w:id="77" w:name="_Toc252110029"/>
      <w:r>
        <w:t>Supplementary Information</w:t>
      </w:r>
      <w:bookmarkEnd w:id="77"/>
    </w:p>
    <w:p w14:paraId="31C10FFB" w14:textId="1D6501F3" w:rsidR="00264A18" w:rsidRDefault="00AC2902" w:rsidP="00264A18">
      <w:pPr>
        <w:pStyle w:val="normal0"/>
        <w:spacing w:line="360" w:lineRule="auto"/>
        <w:rPr>
          <w:rFonts w:ascii="Times" w:hAnsi="Times"/>
          <w:sz w:val="24"/>
        </w:rPr>
      </w:pPr>
      <w:r>
        <w:rPr>
          <w:rFonts w:ascii="Times" w:hAnsi="Times"/>
          <w:sz w:val="24"/>
        </w:rPr>
        <w:t>Supplementary information is available at the online version of this article at</w:t>
      </w:r>
      <w:proofErr w:type="gramStart"/>
      <w:r>
        <w:rPr>
          <w:rFonts w:ascii="Times" w:hAnsi="Times"/>
          <w:sz w:val="24"/>
        </w:rPr>
        <w:t>: ...</w:t>
      </w:r>
      <w:proofErr w:type="gramEnd"/>
    </w:p>
    <w:p w14:paraId="08FE4335" w14:textId="77777777" w:rsidR="00AC2902" w:rsidRDefault="00AC2902" w:rsidP="00264A18">
      <w:pPr>
        <w:pStyle w:val="normal0"/>
        <w:spacing w:line="360" w:lineRule="auto"/>
        <w:rPr>
          <w:rFonts w:ascii="Times" w:hAnsi="Times"/>
          <w:sz w:val="24"/>
        </w:rPr>
      </w:pPr>
    </w:p>
    <w:p w14:paraId="67578592" w14:textId="77777777" w:rsidR="00264A18" w:rsidRPr="00264A18" w:rsidRDefault="00264A18" w:rsidP="00264A18">
      <w:pPr>
        <w:pStyle w:val="normal0"/>
        <w:spacing w:line="360" w:lineRule="auto"/>
        <w:rPr>
          <w:rFonts w:ascii="Times" w:hAnsi="Times"/>
          <w:sz w:val="24"/>
        </w:rPr>
      </w:pPr>
      <w:r w:rsidRPr="00264A18">
        <w:rPr>
          <w:rFonts w:ascii="Times" w:hAnsi="Times"/>
          <w:sz w:val="24"/>
        </w:rPr>
        <w:t xml:space="preserve">Figure S1. Representative indents made during micromechanical testing for the (A) 400 µatm and (B) 2800 µatm treatment. The radius of a circle radiating from the center of the indent enclosing all visible cracks was used to calculate fracture toughness, a portion of which is shown for each treatment. Arrow denotes the longest crack found for each indent. Radius length is shown on the image in µm. Mean crack radius was similar between the 400 and 1000 µatm treatments. </w:t>
      </w:r>
    </w:p>
    <w:p w14:paraId="23AC334B" w14:textId="77777777" w:rsidR="00264A18" w:rsidRPr="00264A18" w:rsidRDefault="00264A18" w:rsidP="00264A18">
      <w:pPr>
        <w:pStyle w:val="normal0"/>
        <w:spacing w:line="360" w:lineRule="auto"/>
        <w:rPr>
          <w:rFonts w:ascii="Times" w:hAnsi="Times"/>
          <w:sz w:val="24"/>
        </w:rPr>
      </w:pPr>
    </w:p>
    <w:p w14:paraId="20388463" w14:textId="77777777" w:rsidR="00264A18" w:rsidRPr="00264A18" w:rsidRDefault="00264A18" w:rsidP="00264A18">
      <w:pPr>
        <w:pStyle w:val="normal0"/>
        <w:spacing w:line="360" w:lineRule="auto"/>
        <w:rPr>
          <w:rFonts w:ascii="Times" w:hAnsi="Times"/>
          <w:sz w:val="24"/>
        </w:rPr>
      </w:pPr>
      <w:r w:rsidRPr="00264A18">
        <w:rPr>
          <w:rFonts w:ascii="Times" w:hAnsi="Times"/>
          <w:sz w:val="24"/>
        </w:rPr>
        <w:t>Figure S2. Heat maps of differentially expressed proteins annotated with protein names.  Protein expression values have been log-transformed.  The dendrograms on the left of the heat maps represent the clustering of proteins according to expression profile.</w:t>
      </w:r>
    </w:p>
    <w:p w14:paraId="333B9006" w14:textId="77777777" w:rsidR="00264A18" w:rsidRPr="00264A18" w:rsidRDefault="00264A18" w:rsidP="00264A18">
      <w:pPr>
        <w:pStyle w:val="normal0"/>
        <w:spacing w:line="360" w:lineRule="auto"/>
        <w:rPr>
          <w:rFonts w:ascii="Times" w:hAnsi="Times"/>
          <w:sz w:val="24"/>
        </w:rPr>
      </w:pPr>
    </w:p>
    <w:p w14:paraId="0F1109A7" w14:textId="77777777" w:rsidR="00264A18" w:rsidRPr="00264A18" w:rsidRDefault="00264A18" w:rsidP="00264A18">
      <w:pPr>
        <w:pStyle w:val="normal0"/>
        <w:spacing w:line="360" w:lineRule="auto"/>
        <w:rPr>
          <w:rFonts w:ascii="Times" w:hAnsi="Times"/>
          <w:sz w:val="24"/>
        </w:rPr>
      </w:pPr>
      <w:r w:rsidRPr="00264A18">
        <w:rPr>
          <w:rFonts w:ascii="Times" w:hAnsi="Times"/>
          <w:sz w:val="24"/>
        </w:rPr>
        <w:t xml:space="preserve">Figure S3. </w:t>
      </w:r>
      <w:proofErr w:type="gramStart"/>
      <w:r w:rsidRPr="00264A18">
        <w:rPr>
          <w:rFonts w:ascii="Times" w:hAnsi="Times"/>
          <w:sz w:val="24"/>
        </w:rPr>
        <w:t xml:space="preserve">Representation of key metabolic pathways that are significantly affected by ocean acidification (A), mechanical stress at low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(B), and mechanical stress at high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 xml:space="preserve"> (C).</w:t>
      </w:r>
      <w:proofErr w:type="gramEnd"/>
      <w:r w:rsidRPr="00264A18">
        <w:rPr>
          <w:rFonts w:ascii="Times" w:hAnsi="Times"/>
          <w:sz w:val="24"/>
        </w:rPr>
        <w:t xml:space="preserve">  Red lines are proteins/pathways that are differentially expressed at higher levels in the stress treatments and blue lines are those that are differentially expressed at lower levels. In the key, the different colored lines represent different metabolic pathways that are affected by oyster exposure to ocean acidification and/or mechanical stimulation.  Figures are also available on FigShare with input files for iPath2 to allow for interactive exploration of the data.</w:t>
      </w:r>
    </w:p>
    <w:p w14:paraId="1BAC0C7C" w14:textId="77777777" w:rsidR="00264A18" w:rsidRPr="00264A18" w:rsidRDefault="00264A18" w:rsidP="00264A18">
      <w:pPr>
        <w:pStyle w:val="normal0"/>
        <w:spacing w:line="360" w:lineRule="auto"/>
        <w:rPr>
          <w:rFonts w:ascii="Times" w:hAnsi="Times"/>
          <w:sz w:val="24"/>
        </w:rPr>
      </w:pPr>
    </w:p>
    <w:p w14:paraId="3267A918" w14:textId="77777777" w:rsidR="00264A18" w:rsidRPr="00264A18" w:rsidRDefault="00264A18" w:rsidP="00264A18">
      <w:pPr>
        <w:pStyle w:val="normal0"/>
        <w:spacing w:line="360" w:lineRule="auto"/>
        <w:rPr>
          <w:rFonts w:ascii="Times" w:hAnsi="Times"/>
          <w:sz w:val="24"/>
        </w:rPr>
      </w:pPr>
      <w:r w:rsidRPr="00264A18">
        <w:rPr>
          <w:rFonts w:ascii="Times" w:hAnsi="Times"/>
          <w:sz w:val="24"/>
        </w:rPr>
        <w:t>Table S1. Raw and normalized (proportion) fatty acid data for 8 oysters each from 3 treatments: 400, 800, and 2800 µatm.</w:t>
      </w:r>
    </w:p>
    <w:p w14:paraId="4DCED276" w14:textId="77777777" w:rsidR="00264A18" w:rsidRPr="00264A18" w:rsidRDefault="00264A18" w:rsidP="00264A18">
      <w:pPr>
        <w:pStyle w:val="normal0"/>
        <w:spacing w:line="360" w:lineRule="auto"/>
        <w:rPr>
          <w:rFonts w:ascii="Times" w:hAnsi="Times"/>
          <w:sz w:val="24"/>
        </w:rPr>
      </w:pPr>
    </w:p>
    <w:p w14:paraId="126CE36B" w14:textId="77777777" w:rsidR="00264A18" w:rsidRPr="00264A18" w:rsidRDefault="00264A18" w:rsidP="00264A18">
      <w:pPr>
        <w:pStyle w:val="normal0"/>
        <w:spacing w:line="360" w:lineRule="auto"/>
        <w:rPr>
          <w:rFonts w:ascii="Times" w:hAnsi="Times"/>
          <w:sz w:val="24"/>
        </w:rPr>
      </w:pPr>
      <w:r w:rsidRPr="00264A18">
        <w:rPr>
          <w:rFonts w:ascii="Times" w:hAnsi="Times"/>
          <w:sz w:val="24"/>
        </w:rPr>
        <w:t>Table S2. ProteinProphet output for each technical replicate.  Information for each protein includes percent coverage by sequenced peptides, total number unique peptides, total independent spectra (spectral count), and peptide sequences.</w:t>
      </w:r>
    </w:p>
    <w:p w14:paraId="765D3E95" w14:textId="77777777" w:rsidR="00264A18" w:rsidRPr="00264A18" w:rsidRDefault="00264A18" w:rsidP="00264A18">
      <w:pPr>
        <w:pStyle w:val="normal0"/>
        <w:spacing w:line="360" w:lineRule="auto"/>
        <w:rPr>
          <w:rFonts w:ascii="Times" w:hAnsi="Times"/>
          <w:sz w:val="24"/>
        </w:rPr>
      </w:pPr>
    </w:p>
    <w:p w14:paraId="7236DB9A" w14:textId="77777777" w:rsidR="00264A18" w:rsidRPr="00264A18" w:rsidRDefault="00264A18" w:rsidP="00264A18">
      <w:pPr>
        <w:pStyle w:val="normal0"/>
        <w:spacing w:line="360" w:lineRule="auto"/>
        <w:rPr>
          <w:rFonts w:ascii="Times" w:hAnsi="Times"/>
          <w:sz w:val="24"/>
        </w:rPr>
      </w:pPr>
      <w:r w:rsidRPr="00264A18">
        <w:rPr>
          <w:rFonts w:ascii="Times" w:hAnsi="Times"/>
          <w:sz w:val="24"/>
        </w:rPr>
        <w:t xml:space="preserve">Table S3. Protein expression values (NSAF) for each oyster for the 1 616 proteins identified.  Also included are average expression values across treatments (i.e. 2800 avg NSAF is the average expression across all four high </w:t>
      </w:r>
      <w:r w:rsidRPr="00264A18">
        <w:rPr>
          <w:rFonts w:ascii="Times" w:hAnsi="Times"/>
          <w:i/>
          <w:sz w:val="24"/>
        </w:rPr>
        <w:t>p</w:t>
      </w:r>
      <w:r w:rsidRPr="00264A18">
        <w:rPr>
          <w:rFonts w:ascii="Times" w:hAnsi="Times"/>
          <w:sz w:val="24"/>
        </w:rPr>
        <w:t>CO</w:t>
      </w:r>
      <w:r w:rsidRPr="00264A18">
        <w:rPr>
          <w:rFonts w:ascii="Times" w:hAnsi="Times"/>
          <w:sz w:val="24"/>
          <w:vertAlign w:val="subscript"/>
        </w:rPr>
        <w:t>2</w:t>
      </w:r>
      <w:r w:rsidRPr="00264A18">
        <w:rPr>
          <w:rFonts w:ascii="Times" w:hAnsi="Times"/>
          <w:sz w:val="24"/>
        </w:rPr>
        <w:t>-exposed oysters); fold change for treatment/control oysters (i.e. Fold Diff OA is [2800 avg NSAF]/[400 avg NSAF]); columns for each of the three treatment comparisons with an asterisk indicating if the protein is &gt;5-fold up- or down-regulated; SwissProt annotation, e-value, and gene description; proteins responsible for enrichment and the treatment comparisons in which they are enriched; a column indicating in which stress treatment proteins are differentially expressed (q-value &lt; 0.1).  In the fold difference columns “up” signifies that the protein was only expressed in oysters from the 2800 µatm treatment (versus the 400 µ</w:t>
      </w:r>
      <w:proofErr w:type="gramStart"/>
      <w:r w:rsidRPr="00264A18">
        <w:rPr>
          <w:rFonts w:ascii="Times" w:hAnsi="Times"/>
          <w:sz w:val="24"/>
        </w:rPr>
        <w:t>atm ,</w:t>
      </w:r>
      <w:proofErr w:type="gramEnd"/>
      <w:r w:rsidRPr="00264A18">
        <w:rPr>
          <w:rFonts w:ascii="Times" w:hAnsi="Times"/>
          <w:sz w:val="24"/>
        </w:rPr>
        <w:t xml:space="preserve"> Fold Diff OA), mechanical stress at 400 µatm treatment (versus 400 µatm, Fold Diff 400 MechS), or in the mechanical stress at 2800 µatm (versus 2800 µatm, Fold Diff 2800 MechS); “down” represents proteins that were only expressed in the other treatment for each comparison.</w:t>
      </w:r>
    </w:p>
    <w:p w14:paraId="3D939E5A" w14:textId="77777777" w:rsidR="00264A18" w:rsidRPr="00264A18" w:rsidRDefault="00264A18" w:rsidP="00264A18">
      <w:pPr>
        <w:pStyle w:val="normal0"/>
        <w:spacing w:line="360" w:lineRule="auto"/>
        <w:rPr>
          <w:rFonts w:ascii="Times" w:hAnsi="Times"/>
          <w:sz w:val="24"/>
        </w:rPr>
      </w:pPr>
    </w:p>
    <w:p w14:paraId="632EC2D4" w14:textId="77777777" w:rsidR="00264A18" w:rsidRPr="00264A18" w:rsidRDefault="00264A18" w:rsidP="00264A18">
      <w:pPr>
        <w:pStyle w:val="normal0"/>
        <w:spacing w:line="360" w:lineRule="auto"/>
        <w:rPr>
          <w:rFonts w:ascii="Times" w:hAnsi="Times"/>
          <w:sz w:val="24"/>
        </w:rPr>
      </w:pPr>
      <w:r w:rsidRPr="00264A18">
        <w:rPr>
          <w:rFonts w:ascii="Times" w:hAnsi="Times"/>
          <w:sz w:val="24"/>
        </w:rPr>
        <w:t xml:space="preserve">Table S4. </w:t>
      </w:r>
      <w:r w:rsidRPr="00264A18">
        <w:rPr>
          <w:rFonts w:ascii="Times" w:hAnsi="Times"/>
          <w:i/>
          <w:sz w:val="24"/>
        </w:rPr>
        <w:t xml:space="preserve">C. </w:t>
      </w:r>
      <w:proofErr w:type="gramStart"/>
      <w:r w:rsidRPr="00264A18">
        <w:rPr>
          <w:rFonts w:ascii="Times" w:hAnsi="Times"/>
          <w:i/>
          <w:sz w:val="24"/>
        </w:rPr>
        <w:t>gigas</w:t>
      </w:r>
      <w:proofErr w:type="gramEnd"/>
      <w:r w:rsidRPr="00264A18">
        <w:rPr>
          <w:rFonts w:ascii="Times" w:hAnsi="Times"/>
          <w:sz w:val="24"/>
        </w:rPr>
        <w:t xml:space="preserve"> proteins with associated SwissProt/UniProt-KB, Gene Ontology (GO), and GO Slim annotations.</w:t>
      </w:r>
    </w:p>
    <w:p w14:paraId="568ECE99" w14:textId="77777777" w:rsidR="00264A18" w:rsidRDefault="00264A18" w:rsidP="00264A18">
      <w:pPr>
        <w:pStyle w:val="normal0"/>
        <w:spacing w:line="360" w:lineRule="auto"/>
        <w:rPr>
          <w:rFonts w:ascii="Times" w:hAnsi="Times"/>
          <w:sz w:val="24"/>
        </w:rPr>
      </w:pPr>
    </w:p>
    <w:p w14:paraId="0512F3AA" w14:textId="3D097842" w:rsidR="00264A18" w:rsidRPr="00264A18" w:rsidRDefault="00264A18" w:rsidP="00264A18">
      <w:pPr>
        <w:pStyle w:val="normal0"/>
        <w:spacing w:line="360" w:lineRule="auto"/>
        <w:rPr>
          <w:rFonts w:ascii="Times" w:hAnsi="Times"/>
          <w:sz w:val="24"/>
        </w:rPr>
      </w:pPr>
      <w:r w:rsidRPr="00264A18">
        <w:rPr>
          <w:rFonts w:ascii="Times" w:hAnsi="Times"/>
          <w:sz w:val="24"/>
        </w:rPr>
        <w:t xml:space="preserve">Table S5. Enriched biological processes for proteins &gt;5-fold differentially expressed in the stress responses to elevated </w:t>
      </w:r>
      <w:r w:rsidRPr="00264A18">
        <w:rPr>
          <w:rFonts w:ascii="Times" w:hAnsi="Times"/>
          <w:i/>
          <w:sz w:val="24"/>
        </w:rPr>
        <w:t>p</w:t>
      </w:r>
      <w:r w:rsidRPr="00264A18">
        <w:rPr>
          <w:rFonts w:ascii="Times" w:hAnsi="Times"/>
          <w:sz w:val="24"/>
        </w:rPr>
        <w:t>CO</w:t>
      </w:r>
      <w:r w:rsidRPr="00264A18">
        <w:rPr>
          <w:rFonts w:ascii="Times" w:hAnsi="Times"/>
          <w:sz w:val="24"/>
          <w:vertAlign w:val="subscript"/>
        </w:rPr>
        <w:t xml:space="preserve">2 </w:t>
      </w:r>
      <w:r w:rsidRPr="00264A18">
        <w:rPr>
          <w:rFonts w:ascii="Times" w:hAnsi="Times"/>
          <w:sz w:val="24"/>
        </w:rPr>
        <w:t>of 2800 µatm (“OA”), mechanical stress after a one month exposure to 400 µatm (“Mech Stress 400 µatm”), and mechanical stress after a one month exposure to 2800 µtam (“Mech Stress 2800 µatm”).  Table includes enriched GO term, number of proteins contributing to that GO term, p-value indicating degree of enrichment, the SwissProt accession numbers for those proteins, the fold enrichment for each GO term, and the false discovery rate (FDR).</w:t>
      </w:r>
    </w:p>
    <w:p w14:paraId="6D8B6C1B" w14:textId="77777777" w:rsidR="00071B1D" w:rsidRPr="00071B1D" w:rsidRDefault="00071B1D" w:rsidP="00071B1D"/>
    <w:p w14:paraId="06C81894" w14:textId="16175847" w:rsidR="00C02D9B" w:rsidRDefault="00071B1D" w:rsidP="00071B1D">
      <w:pPr>
        <w:pStyle w:val="Heading2"/>
      </w:pPr>
      <w:bookmarkStart w:id="78" w:name="_Toc252110030"/>
      <w:r>
        <w:t>Acknowledgements</w:t>
      </w:r>
      <w:bookmarkEnd w:id="78"/>
    </w:p>
    <w:p w14:paraId="24AFE9EE" w14:textId="7362E13D" w:rsidR="00071B1D" w:rsidRPr="00071B1D" w:rsidRDefault="00295E93" w:rsidP="00071B1D">
      <w:r w:rsidRPr="00B14C1B">
        <w:rPr>
          <w:rFonts w:ascii="Times" w:hAnsi="Times"/>
          <w:szCs w:val="22"/>
        </w:rPr>
        <w:t xml:space="preserve">We would like to thank Taylor Shellfish for the donation of all oysters used in this research, particularly Dr. Joth Davis, Jason Ragan, and Dustin Johnson.  Sam Garson and Ronen Elad donated their time to oyster collection and maintenance, respectively.  Dr. Carolyn Friedman provided essential advice for many parts of the experimental design.  Drs. Ken Sebens and Emily Carrington generously provided use of the ocean acidification system at Friday Harbor Labs.  Matt George, Dr. Moose O’Donnell, and Michelle Herko were indefatigable in their help with running the experiment and technical troubleshooting.  </w:t>
      </w:r>
      <w:proofErr w:type="gramStart"/>
      <w:r w:rsidRPr="00B14C1B">
        <w:rPr>
          <w:rFonts w:ascii="Times" w:hAnsi="Times"/>
          <w:szCs w:val="22"/>
        </w:rPr>
        <w:t>Oyster sampling was aided by Sam White, Mackenzie Gavery, and Caroline Storer</w:t>
      </w:r>
      <w:proofErr w:type="gramEnd"/>
      <w:r w:rsidRPr="00B14C1B">
        <w:rPr>
          <w:rFonts w:ascii="Times" w:hAnsi="Times"/>
          <w:szCs w:val="22"/>
        </w:rPr>
        <w:t>.  Thank you pub-a-thon participants and Dr. Lorenz Hauser for comments throughout the manuscript writing process.  Dr. Priska von Haller, Jimmy Eng, and Tahmina “Eva” Jahan were indispensable in executing the proteomics portion of the experiment.  J. Sean Yeung and Dr. Mike Brett provided training, lab space, and help with analysis for the fatty acids.</w:t>
      </w:r>
    </w:p>
    <w:p w14:paraId="18A256C4" w14:textId="1A60AB61" w:rsidR="00071B1D" w:rsidRDefault="00C85C10" w:rsidP="00071B1D">
      <w:pPr>
        <w:pStyle w:val="Heading2"/>
      </w:pPr>
      <w:bookmarkStart w:id="79" w:name="_Toc252110031"/>
      <w:r>
        <w:t>Works Cited</w:t>
      </w:r>
      <w:bookmarkEnd w:id="79"/>
    </w:p>
    <w:p w14:paraId="4330D8D0" w14:textId="77777777" w:rsidR="00264A18" w:rsidRPr="00264A18" w:rsidRDefault="00264A18" w:rsidP="00264A18">
      <w:pPr>
        <w:pStyle w:val="NormalWeb"/>
        <w:ind w:left="480" w:hanging="480"/>
        <w:rPr>
          <w:noProof/>
          <w:sz w:val="24"/>
          <w:szCs w:val="24"/>
        </w:rPr>
      </w:pPr>
      <w:r w:rsidRPr="00264A18">
        <w:rPr>
          <w:noProof/>
          <w:sz w:val="24"/>
          <w:szCs w:val="24"/>
        </w:rPr>
        <w:t xml:space="preserve">Abele, D., Philipp, E., Gonzalez, P. M., and Puntarulo, S. (2007). Marine invertebrate mitochondria and oxidative stress. </w:t>
      </w:r>
      <w:r w:rsidRPr="00264A18">
        <w:rPr>
          <w:i/>
          <w:iCs/>
          <w:noProof/>
          <w:sz w:val="24"/>
          <w:szCs w:val="24"/>
        </w:rPr>
        <w:t>Frontiers in Bioscience</w:t>
      </w:r>
      <w:r w:rsidRPr="00264A18">
        <w:rPr>
          <w:noProof/>
          <w:sz w:val="24"/>
          <w:szCs w:val="24"/>
        </w:rPr>
        <w:t xml:space="preserve">, </w:t>
      </w:r>
      <w:r w:rsidRPr="00264A18">
        <w:rPr>
          <w:iCs/>
          <w:noProof/>
          <w:sz w:val="24"/>
          <w:szCs w:val="24"/>
        </w:rPr>
        <w:t>12</w:t>
      </w:r>
      <w:r w:rsidRPr="00264A18">
        <w:rPr>
          <w:noProof/>
          <w:sz w:val="24"/>
          <w:szCs w:val="24"/>
        </w:rPr>
        <w:t>, 933–946.</w:t>
      </w:r>
    </w:p>
    <w:p w14:paraId="43FA6BA5" w14:textId="77777777" w:rsidR="00264A18" w:rsidRPr="00264A18" w:rsidRDefault="00264A18" w:rsidP="00264A18">
      <w:pPr>
        <w:pStyle w:val="NormalWeb"/>
        <w:ind w:left="480" w:hanging="480"/>
        <w:rPr>
          <w:noProof/>
          <w:sz w:val="24"/>
          <w:szCs w:val="24"/>
        </w:rPr>
      </w:pPr>
      <w:r w:rsidRPr="00264A18">
        <w:rPr>
          <w:noProof/>
          <w:sz w:val="24"/>
          <w:szCs w:val="24"/>
        </w:rPr>
        <w:t xml:space="preserve">Altschul, S. F., Madden, T. L., Schäffer, A.A., Zhang, J., Zhang, Z., Miller, W., and Lipman, D. J. (1997). Gapped BLAST and PSI-BLAST: a new generation of protein database search programs. </w:t>
      </w:r>
      <w:r w:rsidRPr="00264A18">
        <w:rPr>
          <w:i/>
          <w:iCs/>
          <w:noProof/>
          <w:sz w:val="24"/>
          <w:szCs w:val="24"/>
        </w:rPr>
        <w:t>Nucleic acids research</w:t>
      </w:r>
      <w:r w:rsidRPr="00264A18">
        <w:rPr>
          <w:noProof/>
          <w:sz w:val="24"/>
          <w:szCs w:val="24"/>
        </w:rPr>
        <w:t xml:space="preserve">, </w:t>
      </w:r>
      <w:r w:rsidRPr="00264A18">
        <w:rPr>
          <w:iCs/>
          <w:noProof/>
          <w:sz w:val="24"/>
          <w:szCs w:val="24"/>
        </w:rPr>
        <w:t>25</w:t>
      </w:r>
      <w:r w:rsidRPr="00264A18">
        <w:rPr>
          <w:noProof/>
          <w:sz w:val="24"/>
          <w:szCs w:val="24"/>
        </w:rPr>
        <w:t>(17), 3389–402.</w:t>
      </w:r>
    </w:p>
    <w:p w14:paraId="790068BD" w14:textId="77777777" w:rsidR="00264A18" w:rsidRPr="00264A18" w:rsidRDefault="00264A18" w:rsidP="00264A18">
      <w:pPr>
        <w:pStyle w:val="NormalWeb"/>
        <w:ind w:left="480" w:hanging="480"/>
        <w:rPr>
          <w:noProof/>
          <w:sz w:val="24"/>
          <w:szCs w:val="24"/>
        </w:rPr>
      </w:pPr>
      <w:r w:rsidRPr="00264A18">
        <w:rPr>
          <w:noProof/>
          <w:sz w:val="24"/>
          <w:szCs w:val="24"/>
        </w:rPr>
        <w:t xml:space="preserve">Anstis, G. R., Chantikul, P., Lawn, B. R., and Marshall, D. B. (1981). A critical evaluation of indentation techniques for measuring fracture toughness: I, direct crack measurements. </w:t>
      </w:r>
      <w:r w:rsidRPr="00264A18">
        <w:rPr>
          <w:i/>
          <w:iCs/>
          <w:noProof/>
          <w:sz w:val="24"/>
          <w:szCs w:val="24"/>
        </w:rPr>
        <w:t>Journal of the American Ceramic Society</w:t>
      </w:r>
      <w:r w:rsidRPr="00264A18">
        <w:rPr>
          <w:noProof/>
          <w:sz w:val="24"/>
          <w:szCs w:val="24"/>
        </w:rPr>
        <w:t xml:space="preserve">, </w:t>
      </w:r>
      <w:r w:rsidRPr="00264A18">
        <w:rPr>
          <w:iCs/>
          <w:noProof/>
          <w:sz w:val="24"/>
          <w:szCs w:val="24"/>
        </w:rPr>
        <w:t>46</w:t>
      </w:r>
      <w:r w:rsidRPr="00264A18">
        <w:rPr>
          <w:noProof/>
          <w:sz w:val="24"/>
          <w:szCs w:val="24"/>
        </w:rPr>
        <w:t>(9), 533–538.</w:t>
      </w:r>
    </w:p>
    <w:p w14:paraId="1FBF05A9" w14:textId="77777777" w:rsidR="00264A18" w:rsidRPr="00264A18" w:rsidRDefault="00264A18" w:rsidP="00264A18">
      <w:pPr>
        <w:pStyle w:val="NormalWeb"/>
        <w:ind w:left="480" w:hanging="480"/>
        <w:rPr>
          <w:noProof/>
          <w:sz w:val="24"/>
          <w:szCs w:val="24"/>
        </w:rPr>
      </w:pPr>
      <w:r w:rsidRPr="00264A18">
        <w:rPr>
          <w:noProof/>
          <w:sz w:val="24"/>
          <w:szCs w:val="24"/>
        </w:rPr>
        <w:t xml:space="preserve">Baldassarri, M., Margolis, H. C., and Beniash, E. (2008). Compositional Determinants of Mechanical Properties of Enamel. </w:t>
      </w:r>
      <w:r w:rsidRPr="00264A18">
        <w:rPr>
          <w:i/>
          <w:iCs/>
          <w:noProof/>
          <w:sz w:val="24"/>
          <w:szCs w:val="24"/>
        </w:rPr>
        <w:t>Journal of Dental Research</w:t>
      </w:r>
      <w:r w:rsidRPr="00264A18">
        <w:rPr>
          <w:noProof/>
          <w:sz w:val="24"/>
          <w:szCs w:val="24"/>
        </w:rPr>
        <w:t xml:space="preserve">, </w:t>
      </w:r>
      <w:r w:rsidRPr="00264A18">
        <w:rPr>
          <w:iCs/>
          <w:noProof/>
          <w:sz w:val="24"/>
          <w:szCs w:val="24"/>
        </w:rPr>
        <w:t>87</w:t>
      </w:r>
      <w:r w:rsidRPr="00264A18">
        <w:rPr>
          <w:noProof/>
          <w:sz w:val="24"/>
          <w:szCs w:val="24"/>
        </w:rPr>
        <w:t>(7), 645–649. doi:10.1177/154405910808700711</w:t>
      </w:r>
    </w:p>
    <w:p w14:paraId="7E48E68E" w14:textId="77777777" w:rsidR="00264A18" w:rsidRPr="00264A18" w:rsidRDefault="00264A18" w:rsidP="00264A18">
      <w:pPr>
        <w:pStyle w:val="NormalWeb"/>
        <w:ind w:left="480" w:hanging="480"/>
        <w:rPr>
          <w:noProof/>
          <w:sz w:val="24"/>
          <w:szCs w:val="24"/>
        </w:rPr>
      </w:pPr>
      <w:r w:rsidRPr="00264A18">
        <w:rPr>
          <w:noProof/>
          <w:sz w:val="24"/>
          <w:szCs w:val="24"/>
        </w:rPr>
        <w:t xml:space="preserve">Barton, A., Hales, B., Waldbusser, G. G., Langdon, C., and Feely, R.A. (2012). The Pacific oyster, Crassostrea gigas, shows negative correlation to naturally elevated carbon dioxide levels: Implications for near-term ocean acidification effects. </w:t>
      </w:r>
      <w:r w:rsidRPr="00264A18">
        <w:rPr>
          <w:i/>
          <w:iCs/>
          <w:noProof/>
          <w:sz w:val="24"/>
          <w:szCs w:val="24"/>
        </w:rPr>
        <w:t>Limnology and Oceanography</w:t>
      </w:r>
      <w:r w:rsidRPr="00264A18">
        <w:rPr>
          <w:noProof/>
          <w:sz w:val="24"/>
          <w:szCs w:val="24"/>
        </w:rPr>
        <w:t xml:space="preserve">, </w:t>
      </w:r>
      <w:r w:rsidRPr="00264A18">
        <w:rPr>
          <w:iCs/>
          <w:noProof/>
          <w:sz w:val="24"/>
          <w:szCs w:val="24"/>
        </w:rPr>
        <w:t>57</w:t>
      </w:r>
      <w:r w:rsidRPr="00264A18">
        <w:rPr>
          <w:noProof/>
          <w:sz w:val="24"/>
          <w:szCs w:val="24"/>
        </w:rPr>
        <w:t>(3), 698–710. doi:10.4319/lo.2012.57.3.0698</w:t>
      </w:r>
    </w:p>
    <w:p w14:paraId="4DC1BE56" w14:textId="77777777" w:rsidR="00264A18" w:rsidRPr="00264A18" w:rsidRDefault="00264A18" w:rsidP="00264A18">
      <w:pPr>
        <w:pStyle w:val="NormalWeb"/>
        <w:ind w:left="480" w:hanging="480"/>
        <w:rPr>
          <w:noProof/>
          <w:sz w:val="24"/>
          <w:szCs w:val="24"/>
        </w:rPr>
      </w:pPr>
      <w:r w:rsidRPr="00264A18">
        <w:rPr>
          <w:noProof/>
          <w:sz w:val="24"/>
          <w:szCs w:val="24"/>
        </w:rPr>
        <w:t xml:space="preserve">Beniash, E., Ivanina, A., Lieb, N., Kurochkin, I., and Sokolova, I. (2010). Elevated level of carbon dioxide affects metabolism and shell formation in oysters Crassostrea virginica (Gmelin). </w:t>
      </w:r>
      <w:r w:rsidRPr="00264A18">
        <w:rPr>
          <w:i/>
          <w:iCs/>
          <w:noProof/>
          <w:sz w:val="24"/>
          <w:szCs w:val="24"/>
        </w:rPr>
        <w:t>Marine Ecology Progress Series</w:t>
      </w:r>
      <w:r w:rsidRPr="00264A18">
        <w:rPr>
          <w:noProof/>
          <w:sz w:val="24"/>
          <w:szCs w:val="24"/>
        </w:rPr>
        <w:t xml:space="preserve">, </w:t>
      </w:r>
      <w:r w:rsidRPr="00264A18">
        <w:rPr>
          <w:iCs/>
          <w:noProof/>
          <w:sz w:val="24"/>
          <w:szCs w:val="24"/>
        </w:rPr>
        <w:t>419</w:t>
      </w:r>
      <w:r w:rsidRPr="00264A18">
        <w:rPr>
          <w:noProof/>
          <w:sz w:val="24"/>
          <w:szCs w:val="24"/>
        </w:rPr>
        <w:t>, 95–108. doi:10.3354/meps08841</w:t>
      </w:r>
    </w:p>
    <w:p w14:paraId="1CAFC0B0" w14:textId="77777777" w:rsidR="00264A18" w:rsidRPr="00264A18" w:rsidRDefault="00264A18" w:rsidP="00264A18">
      <w:pPr>
        <w:pStyle w:val="NormalWeb"/>
        <w:ind w:left="480" w:hanging="480"/>
        <w:rPr>
          <w:noProof/>
          <w:sz w:val="24"/>
          <w:szCs w:val="24"/>
        </w:rPr>
      </w:pPr>
      <w:r w:rsidRPr="00264A18">
        <w:rPr>
          <w:noProof/>
          <w:sz w:val="24"/>
          <w:szCs w:val="24"/>
        </w:rPr>
        <w:t xml:space="preserve">Both, A., Parrish, C. C., Penney, R. W.,  and Thompson, R. J. (2011). Lipid composition of Mytilus edulis reared on organic waste from a Gadus morhua aquaculture facility. </w:t>
      </w:r>
      <w:r w:rsidRPr="00264A18">
        <w:rPr>
          <w:i/>
          <w:noProof/>
          <w:sz w:val="24"/>
          <w:szCs w:val="24"/>
        </w:rPr>
        <w:t>Aquatic Living Resources</w:t>
      </w:r>
      <w:r w:rsidRPr="00264A18">
        <w:rPr>
          <w:noProof/>
          <w:sz w:val="24"/>
          <w:szCs w:val="24"/>
        </w:rPr>
        <w:t xml:space="preserve">, </w:t>
      </w:r>
      <w:r w:rsidRPr="00264A18">
        <w:rPr>
          <w:iCs/>
          <w:noProof/>
          <w:sz w:val="24"/>
          <w:szCs w:val="24"/>
        </w:rPr>
        <w:t>301</w:t>
      </w:r>
      <w:r w:rsidRPr="00264A18">
        <w:rPr>
          <w:noProof/>
          <w:sz w:val="24"/>
          <w:szCs w:val="24"/>
        </w:rPr>
        <w:t>, 295–301.</w:t>
      </w:r>
    </w:p>
    <w:p w14:paraId="1D7FD271" w14:textId="77777777" w:rsidR="00264A18" w:rsidRPr="00264A18" w:rsidRDefault="00264A18" w:rsidP="00264A18">
      <w:pPr>
        <w:pStyle w:val="NormalWeb"/>
        <w:ind w:left="480" w:hanging="480"/>
        <w:rPr>
          <w:noProof/>
          <w:sz w:val="24"/>
          <w:szCs w:val="24"/>
        </w:rPr>
      </w:pPr>
      <w:r w:rsidRPr="00264A18">
        <w:rPr>
          <w:noProof/>
          <w:sz w:val="24"/>
          <w:szCs w:val="24"/>
        </w:rPr>
        <w:t xml:space="preserve">Caldeira, K. and Wickett, M.E. (2005). Ocean model predictions of chemistry changes from carbon dioxide emissions to the atmosphere and ocean. </w:t>
      </w:r>
      <w:r w:rsidRPr="00264A18">
        <w:rPr>
          <w:i/>
          <w:iCs/>
          <w:noProof/>
          <w:sz w:val="24"/>
          <w:szCs w:val="24"/>
        </w:rPr>
        <w:t>Journal of Geophysical Research</w:t>
      </w:r>
      <w:r w:rsidRPr="00264A18">
        <w:rPr>
          <w:noProof/>
          <w:sz w:val="24"/>
          <w:szCs w:val="24"/>
        </w:rPr>
        <w:t xml:space="preserve">, </w:t>
      </w:r>
      <w:r w:rsidRPr="00264A18">
        <w:rPr>
          <w:iCs/>
          <w:noProof/>
          <w:sz w:val="24"/>
          <w:szCs w:val="24"/>
        </w:rPr>
        <w:t>110</w:t>
      </w:r>
      <w:r w:rsidRPr="00264A18">
        <w:rPr>
          <w:noProof/>
          <w:sz w:val="24"/>
          <w:szCs w:val="24"/>
        </w:rPr>
        <w:t>, C09S04. doi:10.1029/2004JC002671</w:t>
      </w:r>
    </w:p>
    <w:p w14:paraId="4BB8FCDC" w14:textId="77777777" w:rsidR="00264A18" w:rsidRPr="00264A18" w:rsidRDefault="00264A18" w:rsidP="00264A18">
      <w:pPr>
        <w:pStyle w:val="NormalWeb"/>
        <w:ind w:left="480" w:hanging="480"/>
        <w:rPr>
          <w:noProof/>
          <w:sz w:val="24"/>
          <w:szCs w:val="24"/>
        </w:rPr>
      </w:pPr>
      <w:r w:rsidRPr="00264A18">
        <w:rPr>
          <w:noProof/>
          <w:sz w:val="24"/>
          <w:szCs w:val="24"/>
        </w:rPr>
        <w:t xml:space="preserve">Clark, M. S., Thorne, M.A.S., Amaral, A., Vieira, F., Batista, F. M., Reis, J., and Power, D. M. (2013). Identification of molecular and physiological responses to chronic environmental challenge in an invasive species: the Pacific oyster, Crassostrea gigas. </w:t>
      </w:r>
      <w:r w:rsidRPr="00264A18">
        <w:rPr>
          <w:i/>
          <w:iCs/>
          <w:noProof/>
          <w:sz w:val="24"/>
          <w:szCs w:val="24"/>
        </w:rPr>
        <w:t>Ecology and evolution</w:t>
      </w:r>
      <w:r w:rsidRPr="00264A18">
        <w:rPr>
          <w:noProof/>
          <w:sz w:val="24"/>
          <w:szCs w:val="24"/>
        </w:rPr>
        <w:t xml:space="preserve">, </w:t>
      </w:r>
      <w:r w:rsidRPr="00264A18">
        <w:rPr>
          <w:iCs/>
          <w:noProof/>
          <w:sz w:val="24"/>
          <w:szCs w:val="24"/>
        </w:rPr>
        <w:t>3</w:t>
      </w:r>
      <w:r w:rsidRPr="00264A18">
        <w:rPr>
          <w:noProof/>
          <w:sz w:val="24"/>
          <w:szCs w:val="24"/>
        </w:rPr>
        <w:t>(10), 3283–97. doi:10.1002/ece3.719</w:t>
      </w:r>
    </w:p>
    <w:p w14:paraId="12C96C86" w14:textId="77777777" w:rsidR="00264A18" w:rsidRPr="00264A18" w:rsidRDefault="00264A18" w:rsidP="00264A18">
      <w:pPr>
        <w:pStyle w:val="NormalWeb"/>
        <w:ind w:left="480" w:hanging="480"/>
        <w:rPr>
          <w:noProof/>
          <w:sz w:val="24"/>
          <w:szCs w:val="24"/>
        </w:rPr>
      </w:pPr>
      <w:r w:rsidRPr="00264A18">
        <w:rPr>
          <w:noProof/>
          <w:sz w:val="24"/>
          <w:szCs w:val="24"/>
        </w:rPr>
        <w:t xml:space="preserve">Clegg, J. S., Uhlinger, K. R., and Jackson, S. A. (2009). Induced thermotolerance and the heat shock protein – 70 family in the Pacific oyster Crassostrea gigas, </w:t>
      </w:r>
      <w:r w:rsidRPr="00264A18">
        <w:rPr>
          <w:iCs/>
          <w:noProof/>
          <w:sz w:val="24"/>
          <w:szCs w:val="24"/>
        </w:rPr>
        <w:t>7</w:t>
      </w:r>
      <w:r w:rsidRPr="00264A18">
        <w:rPr>
          <w:noProof/>
          <w:sz w:val="24"/>
          <w:szCs w:val="24"/>
        </w:rPr>
        <w:t>(1998), 21–30.</w:t>
      </w:r>
    </w:p>
    <w:p w14:paraId="54551A09" w14:textId="77777777" w:rsidR="00264A18" w:rsidRPr="00264A18" w:rsidRDefault="00264A18" w:rsidP="00264A18">
      <w:pPr>
        <w:pStyle w:val="NormalWeb"/>
        <w:ind w:left="480" w:hanging="480"/>
        <w:rPr>
          <w:noProof/>
          <w:sz w:val="24"/>
          <w:szCs w:val="24"/>
        </w:rPr>
      </w:pPr>
      <w:r w:rsidRPr="00264A18">
        <w:rPr>
          <w:noProof/>
          <w:sz w:val="24"/>
          <w:szCs w:val="24"/>
        </w:rPr>
        <w:t>Dean, J. B. (2010). Hypercapnia causes cellular oxidation and nitrosation in addition to acidosis</w:t>
      </w:r>
      <w:r w:rsidRPr="00264A18">
        <w:rPr>
          <w:rFonts w:ascii="Times New Roman" w:hAnsi="Times New Roman"/>
          <w:noProof/>
          <w:sz w:val="24"/>
          <w:szCs w:val="24"/>
        </w:rPr>
        <w:t> </w:t>
      </w:r>
      <w:r w:rsidRPr="00264A18">
        <w:rPr>
          <w:noProof/>
          <w:sz w:val="24"/>
          <w:szCs w:val="24"/>
        </w:rPr>
        <w:t>: implications for CO</w:t>
      </w:r>
      <w:r w:rsidRPr="00264A18">
        <w:rPr>
          <w:noProof/>
          <w:sz w:val="24"/>
          <w:szCs w:val="24"/>
          <w:vertAlign w:val="subscript"/>
        </w:rPr>
        <w:t>2</w:t>
      </w:r>
      <w:r w:rsidRPr="00264A18">
        <w:rPr>
          <w:noProof/>
          <w:sz w:val="24"/>
          <w:szCs w:val="24"/>
        </w:rPr>
        <w:t xml:space="preserve"> chemoreceptor function and dysfunction. </w:t>
      </w:r>
      <w:r w:rsidRPr="00264A18">
        <w:rPr>
          <w:i/>
          <w:noProof/>
          <w:sz w:val="24"/>
          <w:szCs w:val="24"/>
        </w:rPr>
        <w:t>Journal of Applied Physiology</w:t>
      </w:r>
      <w:r w:rsidRPr="00264A18">
        <w:rPr>
          <w:noProof/>
          <w:sz w:val="24"/>
          <w:szCs w:val="24"/>
        </w:rPr>
        <w:t>, 108, 1786–1795. doi:10.1152/japplphysiol.01337.2009.</w:t>
      </w:r>
    </w:p>
    <w:p w14:paraId="5FD49E70" w14:textId="77777777" w:rsidR="00264A18" w:rsidRPr="00264A18" w:rsidRDefault="00264A18" w:rsidP="00264A18">
      <w:pPr>
        <w:pStyle w:val="NormalWeb"/>
        <w:ind w:left="480" w:hanging="480"/>
        <w:rPr>
          <w:noProof/>
          <w:sz w:val="24"/>
          <w:szCs w:val="24"/>
        </w:rPr>
      </w:pPr>
      <w:r w:rsidRPr="00264A18">
        <w:rPr>
          <w:noProof/>
          <w:sz w:val="24"/>
          <w:szCs w:val="24"/>
        </w:rPr>
        <w:t>Dabney, A. and Storey, J.D. and with assistance from Warnes, G.R. (). qvalue: Q-value estimation for false discovery rate control. R package version 1.34.0.</w:t>
      </w:r>
    </w:p>
    <w:p w14:paraId="7ACF205A" w14:textId="77777777" w:rsidR="00264A18" w:rsidRPr="00264A18" w:rsidRDefault="00264A18" w:rsidP="00264A18">
      <w:pPr>
        <w:pStyle w:val="NormalWeb"/>
        <w:ind w:left="480" w:hanging="480"/>
        <w:rPr>
          <w:noProof/>
          <w:sz w:val="24"/>
          <w:szCs w:val="24"/>
        </w:rPr>
      </w:pPr>
      <w:r w:rsidRPr="00264A18">
        <w:rPr>
          <w:noProof/>
          <w:sz w:val="24"/>
          <w:szCs w:val="24"/>
        </w:rPr>
        <w:t>Dickinson, G. H., Ivanina, A. V, Matoo, O. B., Pörtner, H. O., Lannig, G., Bock, C., Bock, C., Beniash, E., and Sokolova, I. M. (2012). Interactive effects of salinity and elevated CO</w:t>
      </w:r>
      <w:r w:rsidRPr="00264A18">
        <w:rPr>
          <w:noProof/>
          <w:sz w:val="24"/>
          <w:szCs w:val="24"/>
          <w:vertAlign w:val="subscript"/>
        </w:rPr>
        <w:t>2</w:t>
      </w:r>
      <w:r w:rsidRPr="00264A18">
        <w:rPr>
          <w:noProof/>
          <w:sz w:val="24"/>
          <w:szCs w:val="24"/>
        </w:rPr>
        <w:t xml:space="preserve"> levels on juvenile eastern oysters, Crassostrea virginica. </w:t>
      </w:r>
      <w:r w:rsidRPr="00264A18">
        <w:rPr>
          <w:i/>
          <w:iCs/>
          <w:noProof/>
          <w:sz w:val="24"/>
          <w:szCs w:val="24"/>
        </w:rPr>
        <w:t>The Journal of experimental biology</w:t>
      </w:r>
      <w:r w:rsidRPr="00264A18">
        <w:rPr>
          <w:noProof/>
          <w:sz w:val="24"/>
          <w:szCs w:val="24"/>
        </w:rPr>
        <w:t xml:space="preserve">, </w:t>
      </w:r>
      <w:r w:rsidRPr="00264A18">
        <w:rPr>
          <w:iCs/>
          <w:noProof/>
          <w:sz w:val="24"/>
          <w:szCs w:val="24"/>
        </w:rPr>
        <w:t>215</w:t>
      </w:r>
      <w:r w:rsidRPr="00264A18">
        <w:rPr>
          <w:noProof/>
          <w:sz w:val="24"/>
          <w:szCs w:val="24"/>
        </w:rPr>
        <w:t>(1), 29–43. doi:10.1242/jeb.061481</w:t>
      </w:r>
    </w:p>
    <w:p w14:paraId="77190B96" w14:textId="77777777" w:rsidR="00264A18" w:rsidRPr="00264A18" w:rsidRDefault="00264A18" w:rsidP="00264A18">
      <w:pPr>
        <w:pStyle w:val="NormalWeb"/>
        <w:ind w:left="480" w:hanging="480"/>
        <w:rPr>
          <w:noProof/>
          <w:sz w:val="24"/>
          <w:szCs w:val="24"/>
        </w:rPr>
      </w:pPr>
      <w:r w:rsidRPr="00264A18">
        <w:rPr>
          <w:noProof/>
          <w:sz w:val="24"/>
          <w:szCs w:val="24"/>
        </w:rPr>
        <w:t>Dickinson, G. H., Matoo, O. B., Tourek, R. T., Sokolova, I. M., and Beniash, E. (2013). Environmental salinity modulates the effects of elevated CO</w:t>
      </w:r>
      <w:r w:rsidRPr="00264A18">
        <w:rPr>
          <w:noProof/>
          <w:sz w:val="24"/>
          <w:szCs w:val="24"/>
          <w:vertAlign w:val="subscript"/>
        </w:rPr>
        <w:t>2</w:t>
      </w:r>
      <w:r w:rsidRPr="00264A18">
        <w:rPr>
          <w:noProof/>
          <w:sz w:val="24"/>
          <w:szCs w:val="24"/>
        </w:rPr>
        <w:t xml:space="preserve"> levels on juvenile hard-shell clams, Mercenaria mercenaria. </w:t>
      </w:r>
      <w:r w:rsidRPr="00264A18">
        <w:rPr>
          <w:i/>
          <w:iCs/>
          <w:noProof/>
          <w:sz w:val="24"/>
          <w:szCs w:val="24"/>
        </w:rPr>
        <w:t>The Journal of experimental biology</w:t>
      </w:r>
      <w:r w:rsidRPr="00264A18">
        <w:rPr>
          <w:noProof/>
          <w:sz w:val="24"/>
          <w:szCs w:val="24"/>
        </w:rPr>
        <w:t xml:space="preserve">, </w:t>
      </w:r>
      <w:r w:rsidRPr="00264A18">
        <w:rPr>
          <w:iCs/>
          <w:noProof/>
          <w:sz w:val="24"/>
          <w:szCs w:val="24"/>
        </w:rPr>
        <w:t>216</w:t>
      </w:r>
      <w:r w:rsidRPr="00264A18">
        <w:rPr>
          <w:noProof/>
          <w:sz w:val="24"/>
          <w:szCs w:val="24"/>
        </w:rPr>
        <w:t xml:space="preserve">(14), 2607–18. doi:10.1242/jeb.082909Dineshram, R., Thiyagarajan, V., Lane, A., Ziniu, Y., Xiao, S., &amp; Leung, P. T. Y. (2013). Elevated CO2 alters larval proteome and its phosphorylation status in the commercial oyster, Crassostrea hongkongensis. </w:t>
      </w:r>
      <w:r w:rsidRPr="00264A18">
        <w:rPr>
          <w:i/>
          <w:iCs/>
          <w:noProof/>
          <w:sz w:val="24"/>
          <w:szCs w:val="24"/>
        </w:rPr>
        <w:t>Marine Biology</w:t>
      </w:r>
      <w:r w:rsidRPr="00264A18">
        <w:rPr>
          <w:noProof/>
          <w:sz w:val="24"/>
          <w:szCs w:val="24"/>
        </w:rPr>
        <w:t xml:space="preserve">, </w:t>
      </w:r>
      <w:r w:rsidRPr="00264A18">
        <w:rPr>
          <w:i/>
          <w:iCs/>
          <w:noProof/>
          <w:sz w:val="24"/>
          <w:szCs w:val="24"/>
        </w:rPr>
        <w:t>160</w:t>
      </w:r>
      <w:r w:rsidRPr="00264A18">
        <w:rPr>
          <w:noProof/>
          <w:sz w:val="24"/>
          <w:szCs w:val="24"/>
        </w:rPr>
        <w:t>(8), 2189–2205. doi:10.1007/s00227-013-2176-x</w:t>
      </w:r>
    </w:p>
    <w:p w14:paraId="16DE731B" w14:textId="77777777" w:rsidR="00264A18" w:rsidRPr="00264A18" w:rsidRDefault="00264A18" w:rsidP="00264A18">
      <w:pPr>
        <w:pStyle w:val="NormalWeb"/>
        <w:ind w:left="480" w:hanging="480"/>
        <w:rPr>
          <w:noProof/>
          <w:sz w:val="24"/>
          <w:szCs w:val="24"/>
        </w:rPr>
      </w:pPr>
      <w:r w:rsidRPr="00264A18">
        <w:rPr>
          <w:noProof/>
          <w:sz w:val="24"/>
          <w:szCs w:val="24"/>
        </w:rPr>
        <w:t>Dickson, A.G., Sabine, C.L., and Christian, J.R. (Eds.) (2007). Guide to best practices for ocean CO</w:t>
      </w:r>
      <w:r w:rsidRPr="00264A18">
        <w:rPr>
          <w:noProof/>
          <w:sz w:val="24"/>
          <w:szCs w:val="24"/>
          <w:vertAlign w:val="subscript"/>
        </w:rPr>
        <w:t xml:space="preserve">2 </w:t>
      </w:r>
      <w:r w:rsidRPr="00264A18">
        <w:rPr>
          <w:noProof/>
          <w:sz w:val="24"/>
          <w:szCs w:val="24"/>
        </w:rPr>
        <w:t>measurements. PICES Special Publication 3, 191 pp.</w:t>
      </w:r>
    </w:p>
    <w:p w14:paraId="6EF27ECA" w14:textId="77777777" w:rsidR="00264A18" w:rsidRPr="00264A18" w:rsidRDefault="00264A18" w:rsidP="00264A18">
      <w:pPr>
        <w:pStyle w:val="NormalWeb"/>
        <w:ind w:left="480" w:hanging="480"/>
        <w:rPr>
          <w:noProof/>
          <w:sz w:val="24"/>
          <w:szCs w:val="24"/>
        </w:rPr>
      </w:pPr>
      <w:r w:rsidRPr="00264A18">
        <w:rPr>
          <w:noProof/>
          <w:sz w:val="24"/>
          <w:szCs w:val="24"/>
        </w:rPr>
        <w:t>Dineshram, R., Wong, K. K. W., Xiao, S., Yu, Z., Qian, P. Y., and Thiyagarajan, V. (2012). Analysis of Pacific oyster larval proteome and its response to high-CO</w:t>
      </w:r>
      <w:r w:rsidRPr="00264A18">
        <w:rPr>
          <w:noProof/>
          <w:sz w:val="24"/>
          <w:szCs w:val="24"/>
          <w:vertAlign w:val="subscript"/>
        </w:rPr>
        <w:t>2</w:t>
      </w:r>
      <w:r w:rsidRPr="00264A18">
        <w:rPr>
          <w:noProof/>
          <w:sz w:val="24"/>
          <w:szCs w:val="24"/>
        </w:rPr>
        <w:t xml:space="preserve">. </w:t>
      </w:r>
      <w:r w:rsidRPr="00264A18">
        <w:rPr>
          <w:i/>
          <w:iCs/>
          <w:noProof/>
          <w:sz w:val="24"/>
          <w:szCs w:val="24"/>
        </w:rPr>
        <w:t>Marine pollution bulletin</w:t>
      </w:r>
      <w:r w:rsidRPr="00264A18">
        <w:rPr>
          <w:noProof/>
          <w:sz w:val="24"/>
          <w:szCs w:val="24"/>
        </w:rPr>
        <w:t xml:space="preserve">, </w:t>
      </w:r>
      <w:r w:rsidRPr="00264A18">
        <w:rPr>
          <w:iCs/>
          <w:noProof/>
          <w:sz w:val="24"/>
          <w:szCs w:val="24"/>
        </w:rPr>
        <w:t>64</w:t>
      </w:r>
      <w:r w:rsidRPr="00264A18">
        <w:rPr>
          <w:noProof/>
          <w:sz w:val="24"/>
          <w:szCs w:val="24"/>
        </w:rPr>
        <w:t>(10), 2160–7. doi:10.1016/j.marpolbul.2012.07.043</w:t>
      </w:r>
    </w:p>
    <w:p w14:paraId="67F6FD1F" w14:textId="77777777" w:rsidR="00264A18" w:rsidRPr="00264A18" w:rsidRDefault="00264A18" w:rsidP="00264A18">
      <w:pPr>
        <w:pStyle w:val="NormalWeb"/>
        <w:ind w:left="480" w:hanging="480"/>
        <w:rPr>
          <w:noProof/>
          <w:sz w:val="24"/>
          <w:szCs w:val="24"/>
        </w:rPr>
      </w:pPr>
      <w:r w:rsidRPr="00264A18">
        <w:rPr>
          <w:noProof/>
          <w:sz w:val="24"/>
          <w:szCs w:val="24"/>
        </w:rPr>
        <w:t xml:space="preserve">Duarte, C. M., Hendriks, I. E., Moore, T. S., Olsen, Y. S., Steckbauer, A., Ramajo, L., Carstensen, J., Trotter, J.A., and McCulloch, M. (2013). Is Ocean Acidification an Open-Ocean Syndrome? Understanding Anthropogenic Impacts on Seawater pH. </w:t>
      </w:r>
      <w:r w:rsidRPr="00264A18">
        <w:rPr>
          <w:i/>
          <w:iCs/>
          <w:noProof/>
          <w:sz w:val="24"/>
          <w:szCs w:val="24"/>
        </w:rPr>
        <w:t>Estuaries and Coasts</w:t>
      </w:r>
      <w:r w:rsidRPr="00264A18">
        <w:rPr>
          <w:noProof/>
          <w:sz w:val="24"/>
          <w:szCs w:val="24"/>
        </w:rPr>
        <w:t xml:space="preserve">, </w:t>
      </w:r>
      <w:r w:rsidRPr="00264A18">
        <w:rPr>
          <w:iCs/>
          <w:noProof/>
          <w:sz w:val="24"/>
          <w:szCs w:val="24"/>
        </w:rPr>
        <w:t>36</w:t>
      </w:r>
      <w:r w:rsidRPr="00264A18">
        <w:rPr>
          <w:noProof/>
          <w:sz w:val="24"/>
          <w:szCs w:val="24"/>
        </w:rPr>
        <w:t>(2), 221–236. doi:10.1007/s12237-013-9594-3</w:t>
      </w:r>
    </w:p>
    <w:p w14:paraId="09598447" w14:textId="77777777" w:rsidR="00264A18" w:rsidRPr="00264A18" w:rsidRDefault="00264A18" w:rsidP="00264A18">
      <w:pPr>
        <w:pStyle w:val="NormalWeb"/>
        <w:ind w:left="480" w:hanging="480"/>
        <w:rPr>
          <w:noProof/>
          <w:sz w:val="24"/>
          <w:szCs w:val="24"/>
        </w:rPr>
      </w:pPr>
      <w:r w:rsidRPr="00264A18">
        <w:rPr>
          <w:noProof/>
          <w:sz w:val="24"/>
          <w:szCs w:val="24"/>
        </w:rPr>
        <w:t xml:space="preserve">Eng, J. K., Fischer, B., Grossmann, J., and Maccoss, M. J. (2008). A fast SEQUEST cross correlation algorithm. </w:t>
      </w:r>
      <w:r w:rsidRPr="00264A18">
        <w:rPr>
          <w:i/>
          <w:iCs/>
          <w:noProof/>
          <w:sz w:val="24"/>
          <w:szCs w:val="24"/>
        </w:rPr>
        <w:t>Journal of proteome research</w:t>
      </w:r>
      <w:r w:rsidRPr="00264A18">
        <w:rPr>
          <w:noProof/>
          <w:sz w:val="24"/>
          <w:szCs w:val="24"/>
        </w:rPr>
        <w:t xml:space="preserve">, </w:t>
      </w:r>
      <w:r w:rsidRPr="00264A18">
        <w:rPr>
          <w:iCs/>
          <w:noProof/>
          <w:sz w:val="24"/>
          <w:szCs w:val="24"/>
        </w:rPr>
        <w:t>7</w:t>
      </w:r>
      <w:r w:rsidRPr="00264A18">
        <w:rPr>
          <w:noProof/>
          <w:sz w:val="24"/>
          <w:szCs w:val="24"/>
        </w:rPr>
        <w:t>(10), 4598–602. doi:10.1021/pr800420s</w:t>
      </w:r>
    </w:p>
    <w:p w14:paraId="4A344E7E" w14:textId="77777777" w:rsidR="00264A18" w:rsidRPr="00264A18" w:rsidRDefault="00264A18" w:rsidP="00264A18">
      <w:pPr>
        <w:pStyle w:val="NormalWeb"/>
        <w:ind w:left="480" w:hanging="480"/>
        <w:rPr>
          <w:noProof/>
          <w:sz w:val="24"/>
          <w:szCs w:val="24"/>
        </w:rPr>
      </w:pPr>
      <w:r w:rsidRPr="00264A18">
        <w:rPr>
          <w:noProof/>
          <w:sz w:val="24"/>
          <w:szCs w:val="24"/>
        </w:rPr>
        <w:t xml:space="preserve">Eng, J. K., Mccormack, A. L., and Yates, J. R. (1994). An Approach to correlate tandem mass spectral data of peptides with amino acid sequences in a protein database. </w:t>
      </w:r>
      <w:r w:rsidRPr="00264A18">
        <w:rPr>
          <w:i/>
          <w:iCs/>
          <w:noProof/>
          <w:sz w:val="24"/>
          <w:szCs w:val="24"/>
        </w:rPr>
        <w:t>Journal of the American Society of Mass Spectrometry</w:t>
      </w:r>
      <w:r w:rsidRPr="00264A18">
        <w:rPr>
          <w:noProof/>
          <w:sz w:val="24"/>
          <w:szCs w:val="24"/>
        </w:rPr>
        <w:t xml:space="preserve">, </w:t>
      </w:r>
      <w:r w:rsidRPr="00264A18">
        <w:rPr>
          <w:iCs/>
          <w:noProof/>
          <w:sz w:val="24"/>
          <w:szCs w:val="24"/>
        </w:rPr>
        <w:t>5</w:t>
      </w:r>
      <w:r w:rsidRPr="00264A18">
        <w:rPr>
          <w:noProof/>
          <w:sz w:val="24"/>
          <w:szCs w:val="24"/>
        </w:rPr>
        <w:t>, 976–989.</w:t>
      </w:r>
    </w:p>
    <w:p w14:paraId="53B4022D" w14:textId="77777777" w:rsidR="00264A18" w:rsidRPr="00264A18" w:rsidRDefault="00264A18" w:rsidP="00264A18">
      <w:pPr>
        <w:pStyle w:val="normal0"/>
        <w:spacing w:line="240" w:lineRule="auto"/>
        <w:ind w:left="480" w:hanging="480"/>
        <w:rPr>
          <w:rFonts w:ascii="Times" w:hAnsi="Times"/>
          <w:sz w:val="24"/>
        </w:rPr>
      </w:pPr>
      <w:proofErr w:type="gramStart"/>
      <w:r w:rsidRPr="00264A18">
        <w:rPr>
          <w:rFonts w:ascii="Times" w:hAnsi="Times"/>
          <w:sz w:val="24"/>
        </w:rPr>
        <w:t>Fang, X., Li, L., Luo, R., Xu, F., Wang, X., Zhu, Y., Yang, L., and Huang, Z. (2012).</w:t>
      </w:r>
      <w:proofErr w:type="gramEnd"/>
      <w:r w:rsidRPr="00264A18">
        <w:rPr>
          <w:rFonts w:ascii="Times" w:hAnsi="Times"/>
          <w:sz w:val="24"/>
        </w:rPr>
        <w:t xml:space="preserve"> </w:t>
      </w:r>
      <w:proofErr w:type="gramStart"/>
      <w:r w:rsidRPr="00264A18">
        <w:rPr>
          <w:rFonts w:ascii="Times" w:hAnsi="Times"/>
          <w:sz w:val="24"/>
        </w:rPr>
        <w:t>Genomic data from the Pacific oyster (Crassostrea gigas).</w:t>
      </w:r>
      <w:proofErr w:type="gramEnd"/>
      <w:r w:rsidRPr="00264A18">
        <w:rPr>
          <w:rFonts w:ascii="Times" w:hAnsi="Times"/>
          <w:sz w:val="24"/>
        </w:rPr>
        <w:t xml:space="preserve"> GigaScience. http://dx.doi.org/10.5524/100030</w:t>
      </w:r>
    </w:p>
    <w:p w14:paraId="3BC46059" w14:textId="77777777" w:rsidR="00264A18" w:rsidRPr="00264A18" w:rsidRDefault="00264A18" w:rsidP="00264A18">
      <w:pPr>
        <w:pStyle w:val="NormalWeb"/>
        <w:ind w:left="480" w:hanging="480"/>
        <w:rPr>
          <w:noProof/>
          <w:sz w:val="24"/>
          <w:szCs w:val="24"/>
        </w:rPr>
      </w:pPr>
      <w:r w:rsidRPr="00264A18">
        <w:rPr>
          <w:noProof/>
          <w:sz w:val="24"/>
          <w:szCs w:val="24"/>
        </w:rPr>
        <w:t xml:space="preserve">Feely, R.A., Alin, S. R., Newton, J., Sabine, C. L., Warner, M., Devol, A., Krembs, C., and Maloy, C. (2010). The combined effects of ocean acidification, mixing, and respiration on pH and carbonate saturation in an urbanized estuary. </w:t>
      </w:r>
      <w:r w:rsidRPr="00264A18">
        <w:rPr>
          <w:i/>
          <w:iCs/>
          <w:noProof/>
          <w:sz w:val="24"/>
          <w:szCs w:val="24"/>
        </w:rPr>
        <w:t>Estuarine, Coastal and Shelf Science</w:t>
      </w:r>
      <w:r w:rsidRPr="00264A18">
        <w:rPr>
          <w:noProof/>
          <w:sz w:val="24"/>
          <w:szCs w:val="24"/>
        </w:rPr>
        <w:t xml:space="preserve">, </w:t>
      </w:r>
      <w:r w:rsidRPr="00264A18">
        <w:rPr>
          <w:iCs/>
          <w:noProof/>
          <w:sz w:val="24"/>
          <w:szCs w:val="24"/>
        </w:rPr>
        <w:t>88</w:t>
      </w:r>
      <w:r w:rsidRPr="00264A18">
        <w:rPr>
          <w:noProof/>
          <w:sz w:val="24"/>
          <w:szCs w:val="24"/>
        </w:rPr>
        <w:t>(4), 442–449. doi:10.1016/j.ecss.2010.05.004</w:t>
      </w:r>
    </w:p>
    <w:p w14:paraId="77B114AA" w14:textId="77777777" w:rsidR="00264A18" w:rsidRPr="00264A18" w:rsidRDefault="00264A18" w:rsidP="00264A18">
      <w:pPr>
        <w:pStyle w:val="NormalWeb"/>
        <w:ind w:left="480" w:hanging="480"/>
        <w:rPr>
          <w:noProof/>
          <w:sz w:val="24"/>
          <w:szCs w:val="24"/>
        </w:rPr>
      </w:pPr>
      <w:r w:rsidRPr="00264A18">
        <w:rPr>
          <w:noProof/>
          <w:sz w:val="24"/>
          <w:szCs w:val="24"/>
        </w:rPr>
        <w:t xml:space="preserve">Feely, R.A., Sabine, C. L., Byrne, R. H., Millero, F. J., Dickson, A. G., Wanninkhof, R., Murata, A., Miler, L.A., and Greeley, D. (2012). Decadal changes in the aragonite and calcite saturation state of the Pacific Ocean. </w:t>
      </w:r>
      <w:r w:rsidRPr="00264A18">
        <w:rPr>
          <w:i/>
          <w:iCs/>
          <w:noProof/>
          <w:sz w:val="24"/>
          <w:szCs w:val="24"/>
        </w:rPr>
        <w:t>Global Biogeochemical Cycles</w:t>
      </w:r>
      <w:r w:rsidRPr="00264A18">
        <w:rPr>
          <w:noProof/>
          <w:sz w:val="24"/>
          <w:szCs w:val="24"/>
        </w:rPr>
        <w:t xml:space="preserve">, </w:t>
      </w:r>
      <w:r w:rsidRPr="00264A18">
        <w:rPr>
          <w:iCs/>
          <w:noProof/>
          <w:sz w:val="24"/>
          <w:szCs w:val="24"/>
        </w:rPr>
        <w:t>26</w:t>
      </w:r>
      <w:r w:rsidRPr="00264A18">
        <w:rPr>
          <w:noProof/>
          <w:sz w:val="24"/>
          <w:szCs w:val="24"/>
        </w:rPr>
        <w:t>(3), GB3001. doi:10.1029/2011GB004157</w:t>
      </w:r>
    </w:p>
    <w:p w14:paraId="5F72B1E5" w14:textId="77777777" w:rsidR="00264A18" w:rsidRPr="00264A18" w:rsidRDefault="00264A18" w:rsidP="00264A18">
      <w:pPr>
        <w:pStyle w:val="NormalWeb"/>
        <w:ind w:left="480" w:hanging="480"/>
        <w:rPr>
          <w:noProof/>
          <w:sz w:val="24"/>
          <w:szCs w:val="24"/>
        </w:rPr>
      </w:pPr>
      <w:r w:rsidRPr="00264A18">
        <w:rPr>
          <w:noProof/>
          <w:sz w:val="24"/>
          <w:szCs w:val="24"/>
        </w:rPr>
        <w:t xml:space="preserve">Florens, L., Carozza, M. J., Swanson, S. K., Fournier, M., Coleman, M. K., Workman, J. L., &amp; Washburn, M. P. (2006). Analyzing chromatin remodeling complexes using shotgun proteomics and normalized spectral abundance factors. </w:t>
      </w:r>
      <w:r w:rsidRPr="00264A18">
        <w:rPr>
          <w:i/>
          <w:iCs/>
          <w:noProof/>
          <w:sz w:val="24"/>
          <w:szCs w:val="24"/>
        </w:rPr>
        <w:t>Methods</w:t>
      </w:r>
      <w:r w:rsidRPr="00264A18">
        <w:rPr>
          <w:noProof/>
          <w:sz w:val="24"/>
          <w:szCs w:val="24"/>
        </w:rPr>
        <w:t xml:space="preserve">, </w:t>
      </w:r>
      <w:r w:rsidRPr="00264A18">
        <w:rPr>
          <w:iCs/>
          <w:noProof/>
          <w:sz w:val="24"/>
          <w:szCs w:val="24"/>
        </w:rPr>
        <w:t>40</w:t>
      </w:r>
      <w:r w:rsidRPr="00264A18">
        <w:rPr>
          <w:noProof/>
          <w:sz w:val="24"/>
          <w:szCs w:val="24"/>
        </w:rPr>
        <w:t>(4), 303–11. doi:10.1016/j.ymeth.2006.07.028</w:t>
      </w:r>
    </w:p>
    <w:p w14:paraId="4E1F8D03" w14:textId="77777777" w:rsidR="00264A18" w:rsidRPr="00264A18" w:rsidRDefault="00264A18" w:rsidP="00264A18">
      <w:pPr>
        <w:pStyle w:val="NormalWeb"/>
        <w:ind w:left="480" w:hanging="480"/>
        <w:rPr>
          <w:noProof/>
          <w:sz w:val="24"/>
          <w:szCs w:val="24"/>
        </w:rPr>
      </w:pPr>
      <w:r w:rsidRPr="00264A18">
        <w:rPr>
          <w:noProof/>
          <w:sz w:val="24"/>
          <w:szCs w:val="24"/>
        </w:rPr>
        <w:t xml:space="preserve">Friedrich, T., Timmermann, A., Bates, N. R., Chikamoto, M. O., Church, M. J., Dore, J. E.,  Gledhill, D.K., González-Dávila, M., Heinemann, M., et al. (2012). Detecting regional anthropogenic trends in ocean acidification against natural variability, </w:t>
      </w:r>
      <w:r w:rsidRPr="00264A18">
        <w:rPr>
          <w:iCs/>
          <w:noProof/>
          <w:sz w:val="24"/>
          <w:szCs w:val="24"/>
        </w:rPr>
        <w:t>2</w:t>
      </w:r>
      <w:r w:rsidRPr="00264A18">
        <w:rPr>
          <w:noProof/>
          <w:sz w:val="24"/>
          <w:szCs w:val="24"/>
        </w:rPr>
        <w:t>, 167–171. doi:10.1038/NCLIMATE1372</w:t>
      </w:r>
    </w:p>
    <w:p w14:paraId="2B71785E" w14:textId="77777777" w:rsidR="00264A18" w:rsidRPr="00264A18" w:rsidRDefault="00264A18" w:rsidP="00264A18">
      <w:pPr>
        <w:pStyle w:val="NormalWeb"/>
        <w:ind w:left="480" w:hanging="480"/>
        <w:rPr>
          <w:noProof/>
          <w:sz w:val="24"/>
          <w:szCs w:val="24"/>
        </w:rPr>
      </w:pPr>
      <w:r w:rsidRPr="00264A18">
        <w:rPr>
          <w:noProof/>
          <w:sz w:val="24"/>
          <w:szCs w:val="24"/>
        </w:rPr>
        <w:t xml:space="preserve">Galloway, A. W. E., Britton-Simmons, K. H., Duggins, D. O., Gabrielson, P. W., and Brett, M. T. (2012). Fatty Acid Signatures Differentiate Marine Macrophytes At Ordinal and Family Ranks1. </w:t>
      </w:r>
      <w:r w:rsidRPr="00264A18">
        <w:rPr>
          <w:i/>
          <w:iCs/>
          <w:noProof/>
          <w:sz w:val="24"/>
          <w:szCs w:val="24"/>
        </w:rPr>
        <w:t>Journal of Phycology</w:t>
      </w:r>
      <w:r w:rsidRPr="00264A18">
        <w:rPr>
          <w:noProof/>
          <w:sz w:val="24"/>
          <w:szCs w:val="24"/>
        </w:rPr>
        <w:t xml:space="preserve">, </w:t>
      </w:r>
      <w:r w:rsidRPr="00264A18">
        <w:rPr>
          <w:iCs/>
          <w:noProof/>
          <w:sz w:val="24"/>
          <w:szCs w:val="24"/>
        </w:rPr>
        <w:t>48</w:t>
      </w:r>
      <w:r w:rsidRPr="00264A18">
        <w:rPr>
          <w:noProof/>
          <w:sz w:val="24"/>
          <w:szCs w:val="24"/>
        </w:rPr>
        <w:t>(4), 956–965. doi:10.1111/j.1529-8817.2012.01173.x</w:t>
      </w:r>
    </w:p>
    <w:p w14:paraId="3B23848B" w14:textId="77777777" w:rsidR="00264A18" w:rsidRPr="00264A18" w:rsidRDefault="00264A18" w:rsidP="00264A18">
      <w:pPr>
        <w:pStyle w:val="NormalWeb"/>
        <w:ind w:left="480" w:hanging="480"/>
        <w:rPr>
          <w:noProof/>
          <w:sz w:val="24"/>
          <w:szCs w:val="24"/>
        </w:rPr>
      </w:pPr>
      <w:r w:rsidRPr="00264A18">
        <w:rPr>
          <w:noProof/>
          <w:sz w:val="24"/>
          <w:szCs w:val="24"/>
        </w:rPr>
        <w:t xml:space="preserve">Gazeau, F., Gattuso, J.-P., Greaves, M., Elderfield, H., Peene, J., Heip, C. H. R., and Middelburg, J. J. (2011). Effect of carbonate chemistry alteration on the early embryonic development of the Pacific oyster (Crassostrea gigas). </w:t>
      </w:r>
      <w:r w:rsidRPr="00264A18">
        <w:rPr>
          <w:i/>
          <w:iCs/>
          <w:noProof/>
          <w:sz w:val="24"/>
          <w:szCs w:val="24"/>
        </w:rPr>
        <w:t>PloS one</w:t>
      </w:r>
      <w:r w:rsidRPr="00264A18">
        <w:rPr>
          <w:noProof/>
          <w:sz w:val="24"/>
          <w:szCs w:val="24"/>
        </w:rPr>
        <w:t xml:space="preserve">, </w:t>
      </w:r>
      <w:r w:rsidRPr="00264A18">
        <w:rPr>
          <w:iCs/>
          <w:noProof/>
          <w:sz w:val="24"/>
          <w:szCs w:val="24"/>
        </w:rPr>
        <w:t>6</w:t>
      </w:r>
      <w:r w:rsidRPr="00264A18">
        <w:rPr>
          <w:noProof/>
          <w:sz w:val="24"/>
          <w:szCs w:val="24"/>
        </w:rPr>
        <w:t>(8), e23010. doi:10.1371/journal.pone.0023010</w:t>
      </w:r>
    </w:p>
    <w:p w14:paraId="5CA08C88" w14:textId="77777777" w:rsidR="00264A18" w:rsidRPr="00264A18" w:rsidRDefault="00264A18" w:rsidP="00264A18">
      <w:pPr>
        <w:pStyle w:val="NormalWeb"/>
        <w:ind w:left="480" w:hanging="480"/>
        <w:rPr>
          <w:noProof/>
          <w:sz w:val="24"/>
          <w:szCs w:val="24"/>
        </w:rPr>
      </w:pPr>
      <w:r w:rsidRPr="00264A18">
        <w:rPr>
          <w:noProof/>
          <w:sz w:val="24"/>
          <w:szCs w:val="24"/>
        </w:rPr>
        <w:t>Gazeau, F., Quiblier, C., Jansen, J. M., Gattuso, J.-P., Middelburg, J. J., and Heip, C. H. R. (2007). Impact of elevated CO</w:t>
      </w:r>
      <w:r w:rsidRPr="00264A18">
        <w:rPr>
          <w:noProof/>
          <w:sz w:val="24"/>
          <w:szCs w:val="24"/>
          <w:vertAlign w:val="subscript"/>
        </w:rPr>
        <w:t>2</w:t>
      </w:r>
      <w:r w:rsidRPr="00264A18">
        <w:rPr>
          <w:noProof/>
          <w:sz w:val="24"/>
          <w:szCs w:val="24"/>
        </w:rPr>
        <w:t xml:space="preserve"> on shellfish calcification. </w:t>
      </w:r>
      <w:r w:rsidRPr="00264A18">
        <w:rPr>
          <w:i/>
          <w:iCs/>
          <w:noProof/>
          <w:sz w:val="24"/>
          <w:szCs w:val="24"/>
        </w:rPr>
        <w:t>Geophysical Research Letters</w:t>
      </w:r>
      <w:r w:rsidRPr="00264A18">
        <w:rPr>
          <w:noProof/>
          <w:sz w:val="24"/>
          <w:szCs w:val="24"/>
        </w:rPr>
        <w:t xml:space="preserve">, </w:t>
      </w:r>
      <w:r w:rsidRPr="00264A18">
        <w:rPr>
          <w:iCs/>
          <w:noProof/>
          <w:sz w:val="24"/>
          <w:szCs w:val="24"/>
        </w:rPr>
        <w:t>34</w:t>
      </w:r>
      <w:r w:rsidRPr="00264A18">
        <w:rPr>
          <w:noProof/>
          <w:sz w:val="24"/>
          <w:szCs w:val="24"/>
        </w:rPr>
        <w:t>(7), L07603. doi:10.1029/2006GL028554</w:t>
      </w:r>
    </w:p>
    <w:p w14:paraId="163C148D" w14:textId="77777777" w:rsidR="00264A18" w:rsidRPr="00264A18" w:rsidRDefault="00264A18" w:rsidP="00264A18">
      <w:pPr>
        <w:pStyle w:val="NormalWeb"/>
        <w:ind w:left="480" w:hanging="480"/>
        <w:rPr>
          <w:noProof/>
          <w:sz w:val="24"/>
          <w:szCs w:val="24"/>
        </w:rPr>
      </w:pPr>
      <w:r w:rsidRPr="00264A18">
        <w:rPr>
          <w:noProof/>
          <w:sz w:val="24"/>
          <w:szCs w:val="24"/>
        </w:rPr>
        <w:t xml:space="preserve">Gruber, N., Hauri, C., Lachkar, Z., Loher, D., Frölicher, T. L., and Plattner, G.-K. (2012). Rapid progression of ocean acidification in the California Current System. </w:t>
      </w:r>
      <w:r w:rsidRPr="00264A18">
        <w:rPr>
          <w:i/>
          <w:iCs/>
          <w:noProof/>
          <w:sz w:val="24"/>
          <w:szCs w:val="24"/>
        </w:rPr>
        <w:t>Science</w:t>
      </w:r>
      <w:r w:rsidRPr="00264A18">
        <w:rPr>
          <w:noProof/>
          <w:sz w:val="24"/>
          <w:szCs w:val="24"/>
        </w:rPr>
        <w:t xml:space="preserve">, </w:t>
      </w:r>
      <w:r w:rsidRPr="00264A18">
        <w:rPr>
          <w:iCs/>
          <w:noProof/>
          <w:sz w:val="24"/>
          <w:szCs w:val="24"/>
        </w:rPr>
        <w:t>337</w:t>
      </w:r>
      <w:r w:rsidRPr="00264A18">
        <w:rPr>
          <w:noProof/>
          <w:sz w:val="24"/>
          <w:szCs w:val="24"/>
        </w:rPr>
        <w:t>(6091), 220–3. doi:10.1126/science.1216773</w:t>
      </w:r>
    </w:p>
    <w:p w14:paraId="19ED2238" w14:textId="77777777" w:rsidR="00264A18" w:rsidRPr="00264A18" w:rsidRDefault="00264A18" w:rsidP="00264A18">
      <w:pPr>
        <w:pStyle w:val="NormalWeb"/>
        <w:ind w:left="480" w:hanging="480"/>
        <w:rPr>
          <w:noProof/>
          <w:sz w:val="24"/>
          <w:szCs w:val="24"/>
        </w:rPr>
      </w:pPr>
      <w:r w:rsidRPr="00264A18">
        <w:rPr>
          <w:noProof/>
          <w:sz w:val="24"/>
          <w:szCs w:val="24"/>
        </w:rPr>
        <w:t xml:space="preserve">Hoffmann, W. A.,  and Poorter, H. (2002). Avoiding Bias in Calculations of Relative Growth Rate. </w:t>
      </w:r>
      <w:r w:rsidRPr="00264A18">
        <w:rPr>
          <w:i/>
          <w:iCs/>
          <w:noProof/>
          <w:sz w:val="24"/>
          <w:szCs w:val="24"/>
        </w:rPr>
        <w:t>Annals of Botany</w:t>
      </w:r>
      <w:r w:rsidRPr="00264A18">
        <w:rPr>
          <w:noProof/>
          <w:sz w:val="24"/>
          <w:szCs w:val="24"/>
        </w:rPr>
        <w:t xml:space="preserve">, </w:t>
      </w:r>
      <w:r w:rsidRPr="00264A18">
        <w:rPr>
          <w:iCs/>
          <w:noProof/>
          <w:sz w:val="24"/>
          <w:szCs w:val="24"/>
        </w:rPr>
        <w:t>90</w:t>
      </w:r>
      <w:r w:rsidRPr="00264A18">
        <w:rPr>
          <w:noProof/>
          <w:sz w:val="24"/>
          <w:szCs w:val="24"/>
        </w:rPr>
        <w:t>(1), 37–42. doi:10.1093/aob/mcf140</w:t>
      </w:r>
    </w:p>
    <w:p w14:paraId="39466C47" w14:textId="77777777" w:rsidR="00264A18" w:rsidRPr="00264A18" w:rsidRDefault="00264A18" w:rsidP="00264A18">
      <w:pPr>
        <w:pStyle w:val="NormalWeb"/>
        <w:ind w:left="480" w:hanging="480"/>
        <w:rPr>
          <w:noProof/>
          <w:sz w:val="24"/>
          <w:szCs w:val="24"/>
        </w:rPr>
      </w:pPr>
      <w:r w:rsidRPr="00264A18">
        <w:rPr>
          <w:rFonts w:eastAsia="Times New Roman"/>
          <w:iCs/>
          <w:sz w:val="24"/>
          <w:szCs w:val="24"/>
        </w:rPr>
        <w:t xml:space="preserve">Howe, B., Cole, G., Souroush, E., Koutris, P., Key, A., Khoussainova, N., and Battle, L. (2011). </w:t>
      </w:r>
      <w:proofErr w:type="gramStart"/>
      <w:r w:rsidRPr="00264A18">
        <w:rPr>
          <w:rFonts w:eastAsia="Times New Roman"/>
          <w:iCs/>
          <w:sz w:val="24"/>
          <w:szCs w:val="24"/>
        </w:rPr>
        <w:t>Database-as-a-service for long-tail science.</w:t>
      </w:r>
      <w:proofErr w:type="gramEnd"/>
      <w:r w:rsidRPr="00264A18">
        <w:rPr>
          <w:rFonts w:eastAsia="Times New Roman"/>
          <w:iCs/>
          <w:sz w:val="24"/>
          <w:szCs w:val="24"/>
        </w:rPr>
        <w:t xml:space="preserve"> </w:t>
      </w:r>
      <w:proofErr w:type="gramStart"/>
      <w:r w:rsidRPr="00264A18">
        <w:rPr>
          <w:rFonts w:eastAsia="Times New Roman"/>
          <w:iCs/>
          <w:sz w:val="24"/>
          <w:szCs w:val="24"/>
        </w:rPr>
        <w:t>In </w:t>
      </w:r>
      <w:r w:rsidRPr="00264A18">
        <w:rPr>
          <w:rFonts w:eastAsia="Times New Roman"/>
          <w:i/>
          <w:iCs/>
          <w:sz w:val="24"/>
          <w:szCs w:val="24"/>
        </w:rPr>
        <w:t>Proceedings of the 23rd international conference on Scientific and statistical database management (SSDBM'11), Judith Bayard Cushing, James French, and Shawn Bowers</w:t>
      </w:r>
      <w:r w:rsidRPr="00264A18">
        <w:rPr>
          <w:rFonts w:eastAsia="Times New Roman"/>
          <w:iCs/>
          <w:sz w:val="24"/>
          <w:szCs w:val="24"/>
        </w:rPr>
        <w:t xml:space="preserve"> (ed. Springer-Verlag, Berlin), pp. 480-489.</w:t>
      </w:r>
      <w:proofErr w:type="gramEnd"/>
      <w:r w:rsidRPr="00264A18">
        <w:rPr>
          <w:rFonts w:eastAsia="Times New Roman"/>
          <w:iCs/>
          <w:sz w:val="24"/>
          <w:szCs w:val="24"/>
        </w:rPr>
        <w:t xml:space="preserve"> Heidelberg: Springer-Verlag.</w:t>
      </w:r>
    </w:p>
    <w:p w14:paraId="5DB4A088" w14:textId="77777777" w:rsidR="00264A18" w:rsidRPr="00264A18" w:rsidRDefault="00264A18" w:rsidP="00264A18">
      <w:pPr>
        <w:pStyle w:val="NormalWeb"/>
        <w:ind w:left="480" w:hanging="480"/>
        <w:rPr>
          <w:noProof/>
          <w:sz w:val="24"/>
          <w:szCs w:val="24"/>
        </w:rPr>
      </w:pPr>
      <w:r w:rsidRPr="00264A18">
        <w:rPr>
          <w:noProof/>
          <w:sz w:val="24"/>
          <w:szCs w:val="24"/>
        </w:rPr>
        <w:t xml:space="preserve">Huang, D. W., Sherman, B. T., and Lempicki, R.A. (2009a). Systematic and integrative analysis of large gene lists using DAVID bioinformatics resources. </w:t>
      </w:r>
      <w:r w:rsidRPr="00264A18">
        <w:rPr>
          <w:i/>
          <w:iCs/>
          <w:noProof/>
          <w:sz w:val="24"/>
          <w:szCs w:val="24"/>
        </w:rPr>
        <w:t>Nature protocols</w:t>
      </w:r>
      <w:r w:rsidRPr="00264A18">
        <w:rPr>
          <w:noProof/>
          <w:sz w:val="24"/>
          <w:szCs w:val="24"/>
        </w:rPr>
        <w:t xml:space="preserve">, </w:t>
      </w:r>
      <w:r w:rsidRPr="00264A18">
        <w:rPr>
          <w:iCs/>
          <w:noProof/>
          <w:sz w:val="24"/>
          <w:szCs w:val="24"/>
        </w:rPr>
        <w:t>4</w:t>
      </w:r>
      <w:r w:rsidRPr="00264A18">
        <w:rPr>
          <w:noProof/>
          <w:sz w:val="24"/>
          <w:szCs w:val="24"/>
        </w:rPr>
        <w:t>(1), 44–57. doi:10.1038/nprot.2008.211</w:t>
      </w:r>
    </w:p>
    <w:p w14:paraId="757F58D8" w14:textId="77777777" w:rsidR="00264A18" w:rsidRPr="00264A18" w:rsidRDefault="00264A18" w:rsidP="00264A18">
      <w:pPr>
        <w:pStyle w:val="NormalWeb"/>
        <w:ind w:left="480" w:hanging="480"/>
        <w:rPr>
          <w:noProof/>
          <w:sz w:val="24"/>
          <w:szCs w:val="24"/>
        </w:rPr>
      </w:pPr>
      <w:r w:rsidRPr="00264A18">
        <w:rPr>
          <w:noProof/>
          <w:sz w:val="24"/>
          <w:szCs w:val="24"/>
        </w:rPr>
        <w:t xml:space="preserve">Huang, D. W., Sherman, B. T., and Lempicki, R.A. (2009b). Bioinformatics enrichment tools: paths toward the comprehensive functional analysis of large gene lists. </w:t>
      </w:r>
      <w:r w:rsidRPr="00264A18">
        <w:rPr>
          <w:i/>
          <w:iCs/>
          <w:noProof/>
          <w:sz w:val="24"/>
          <w:szCs w:val="24"/>
        </w:rPr>
        <w:t>Nucleic acids research</w:t>
      </w:r>
      <w:r w:rsidRPr="00264A18">
        <w:rPr>
          <w:noProof/>
          <w:sz w:val="24"/>
          <w:szCs w:val="24"/>
        </w:rPr>
        <w:t xml:space="preserve">, </w:t>
      </w:r>
      <w:r w:rsidRPr="00264A18">
        <w:rPr>
          <w:iCs/>
          <w:noProof/>
          <w:sz w:val="24"/>
          <w:szCs w:val="24"/>
        </w:rPr>
        <w:t>37</w:t>
      </w:r>
      <w:r w:rsidRPr="00264A18">
        <w:rPr>
          <w:noProof/>
          <w:sz w:val="24"/>
          <w:szCs w:val="24"/>
        </w:rPr>
        <w:t>(1), 1–13. doi:10.1093/nar/gkn923</w:t>
      </w:r>
    </w:p>
    <w:p w14:paraId="318055B3" w14:textId="77777777" w:rsidR="00264A18" w:rsidRPr="00264A18" w:rsidRDefault="00264A18" w:rsidP="00264A18">
      <w:pPr>
        <w:pStyle w:val="NormalWeb"/>
        <w:ind w:left="480" w:hanging="480"/>
        <w:rPr>
          <w:noProof/>
          <w:sz w:val="24"/>
          <w:szCs w:val="24"/>
        </w:rPr>
      </w:pPr>
      <w:r w:rsidRPr="00264A18">
        <w:rPr>
          <w:noProof/>
          <w:sz w:val="24"/>
          <w:szCs w:val="24"/>
        </w:rPr>
        <w:t>Ivanina, A. V, Dickinson, G. H., Matoo, O. B., Bagwe, R., Dickinson, A., Beniash, E., and Sokolova, I. M. (2013). Interactive effects of elevated temperature and CO</w:t>
      </w:r>
      <w:r w:rsidRPr="00264A18">
        <w:rPr>
          <w:noProof/>
          <w:sz w:val="24"/>
          <w:szCs w:val="24"/>
          <w:vertAlign w:val="subscript"/>
        </w:rPr>
        <w:t>2</w:t>
      </w:r>
      <w:r w:rsidRPr="00264A18">
        <w:rPr>
          <w:noProof/>
          <w:sz w:val="24"/>
          <w:szCs w:val="24"/>
        </w:rPr>
        <w:t xml:space="preserve"> levels on energy metabolism and biomineralization of marine bivalves Crassostrea virginica and Mercenaria mercenaria. </w:t>
      </w:r>
      <w:r w:rsidRPr="00264A18">
        <w:rPr>
          <w:i/>
          <w:iCs/>
          <w:noProof/>
          <w:sz w:val="24"/>
          <w:szCs w:val="24"/>
        </w:rPr>
        <w:t>Comparative biochemistry and physiology. Part A, Molecular &amp; integrative physiology</w:t>
      </w:r>
      <w:r w:rsidRPr="00264A18">
        <w:rPr>
          <w:noProof/>
          <w:sz w:val="24"/>
          <w:szCs w:val="24"/>
        </w:rPr>
        <w:t xml:space="preserve">, </w:t>
      </w:r>
      <w:r w:rsidRPr="00264A18">
        <w:rPr>
          <w:iCs/>
          <w:noProof/>
          <w:sz w:val="24"/>
          <w:szCs w:val="24"/>
        </w:rPr>
        <w:t>166</w:t>
      </w:r>
      <w:r w:rsidRPr="00264A18">
        <w:rPr>
          <w:noProof/>
          <w:sz w:val="24"/>
          <w:szCs w:val="24"/>
        </w:rPr>
        <w:t>(1), 101–11. doi:10.1016/j.cbpa.2013.05.016</w:t>
      </w:r>
    </w:p>
    <w:p w14:paraId="236477FD" w14:textId="77777777" w:rsidR="00264A18" w:rsidRPr="00264A18" w:rsidRDefault="00264A18" w:rsidP="00264A18">
      <w:pPr>
        <w:pStyle w:val="NormalWeb"/>
        <w:ind w:left="480" w:hanging="480"/>
        <w:rPr>
          <w:noProof/>
          <w:sz w:val="24"/>
          <w:szCs w:val="24"/>
        </w:rPr>
      </w:pPr>
      <w:r w:rsidRPr="00264A18">
        <w:rPr>
          <w:noProof/>
          <w:sz w:val="24"/>
          <w:szCs w:val="24"/>
        </w:rPr>
        <w:t xml:space="preserve">Kaniewska, P., Campbell, P. R., Kline, D. I., Rodriguez-Lanetty, M., Miller, D. J., Dove, S., and Hoegh-Guldberg, O. (2012). Major cellular and physiological impacts of ocean acidification on a reef building coral. </w:t>
      </w:r>
      <w:r w:rsidRPr="00264A18">
        <w:rPr>
          <w:i/>
          <w:iCs/>
          <w:noProof/>
          <w:sz w:val="24"/>
          <w:szCs w:val="24"/>
        </w:rPr>
        <w:t>PloS one</w:t>
      </w:r>
      <w:r w:rsidRPr="00264A18">
        <w:rPr>
          <w:noProof/>
          <w:sz w:val="24"/>
          <w:szCs w:val="24"/>
        </w:rPr>
        <w:t xml:space="preserve">, </w:t>
      </w:r>
      <w:r w:rsidRPr="00264A18">
        <w:rPr>
          <w:iCs/>
          <w:noProof/>
          <w:sz w:val="24"/>
          <w:szCs w:val="24"/>
        </w:rPr>
        <w:t>7</w:t>
      </w:r>
      <w:r w:rsidRPr="00264A18">
        <w:rPr>
          <w:noProof/>
          <w:sz w:val="24"/>
          <w:szCs w:val="24"/>
        </w:rPr>
        <w:t>(4), e34659. doi:10.1371/journal.pone.0034659</w:t>
      </w:r>
    </w:p>
    <w:p w14:paraId="605BF515" w14:textId="77777777" w:rsidR="00264A18" w:rsidRPr="00264A18" w:rsidRDefault="00264A18" w:rsidP="00264A18">
      <w:pPr>
        <w:pStyle w:val="NormalWeb"/>
        <w:ind w:left="480" w:hanging="480"/>
        <w:rPr>
          <w:noProof/>
          <w:sz w:val="24"/>
          <w:szCs w:val="24"/>
        </w:rPr>
      </w:pPr>
      <w:r w:rsidRPr="00264A18">
        <w:rPr>
          <w:noProof/>
          <w:sz w:val="24"/>
          <w:szCs w:val="24"/>
        </w:rPr>
        <w:t xml:space="preserve">Kelly, M. W., Padilla-Gamiño, J. L., and Hofmann, G. E. (2013). Natural variation and the capacity to adapt to ocean acidification in the keystone sea urchin Strongylocentrotus purpuratus. </w:t>
      </w:r>
      <w:r w:rsidRPr="00264A18">
        <w:rPr>
          <w:i/>
          <w:iCs/>
          <w:noProof/>
          <w:sz w:val="24"/>
          <w:szCs w:val="24"/>
        </w:rPr>
        <w:t>Global change biology</w:t>
      </w:r>
      <w:r w:rsidRPr="00264A18">
        <w:rPr>
          <w:noProof/>
          <w:sz w:val="24"/>
          <w:szCs w:val="24"/>
        </w:rPr>
        <w:t xml:space="preserve">, </w:t>
      </w:r>
      <w:r w:rsidRPr="00264A18">
        <w:rPr>
          <w:iCs/>
          <w:noProof/>
          <w:sz w:val="24"/>
          <w:szCs w:val="24"/>
        </w:rPr>
        <w:t>19</w:t>
      </w:r>
      <w:r w:rsidRPr="00264A18">
        <w:rPr>
          <w:noProof/>
          <w:sz w:val="24"/>
          <w:szCs w:val="24"/>
        </w:rPr>
        <w:t>(8), 2536–46. doi:10.1111/gcb.12251</w:t>
      </w:r>
    </w:p>
    <w:p w14:paraId="42D60E1B" w14:textId="77777777" w:rsidR="00264A18" w:rsidRPr="00264A18" w:rsidRDefault="00264A18" w:rsidP="00264A18">
      <w:pPr>
        <w:pStyle w:val="NormalWeb"/>
        <w:ind w:left="480" w:hanging="480"/>
        <w:rPr>
          <w:noProof/>
          <w:sz w:val="24"/>
          <w:szCs w:val="24"/>
        </w:rPr>
      </w:pPr>
      <w:r w:rsidRPr="00264A18">
        <w:rPr>
          <w:noProof/>
          <w:sz w:val="24"/>
          <w:szCs w:val="24"/>
        </w:rPr>
        <w:t xml:space="preserve">Kroeker, K. J., Kordas, R. L., Crim, R., Hendriks, I. E., Ramajo, L., Singh, G. S., Duarte, C.M., and Gattuso, J.-P. (2013). Impacts of ocean acidification on marine organisms: quantifying sensitivities and interaction with warming. </w:t>
      </w:r>
      <w:r w:rsidRPr="00264A18">
        <w:rPr>
          <w:i/>
          <w:iCs/>
          <w:noProof/>
          <w:sz w:val="24"/>
          <w:szCs w:val="24"/>
        </w:rPr>
        <w:t>Global change biology</w:t>
      </w:r>
      <w:r w:rsidRPr="00264A18">
        <w:rPr>
          <w:noProof/>
          <w:sz w:val="24"/>
          <w:szCs w:val="24"/>
        </w:rPr>
        <w:t xml:space="preserve">, </w:t>
      </w:r>
      <w:r w:rsidRPr="00264A18">
        <w:rPr>
          <w:iCs/>
          <w:noProof/>
          <w:sz w:val="24"/>
          <w:szCs w:val="24"/>
        </w:rPr>
        <w:t>19</w:t>
      </w:r>
      <w:r w:rsidRPr="00264A18">
        <w:rPr>
          <w:noProof/>
          <w:sz w:val="24"/>
          <w:szCs w:val="24"/>
        </w:rPr>
        <w:t>(6), 1884–96. doi:10.1111/gcb.12179</w:t>
      </w:r>
    </w:p>
    <w:p w14:paraId="28E7F5BB" w14:textId="77777777" w:rsidR="00264A18" w:rsidRPr="00264A18" w:rsidRDefault="00264A18" w:rsidP="00264A18">
      <w:pPr>
        <w:pStyle w:val="NormalWeb"/>
        <w:ind w:left="480" w:hanging="480"/>
        <w:rPr>
          <w:noProof/>
          <w:sz w:val="24"/>
          <w:szCs w:val="24"/>
        </w:rPr>
      </w:pPr>
      <w:r w:rsidRPr="00264A18">
        <w:rPr>
          <w:noProof/>
          <w:sz w:val="24"/>
          <w:szCs w:val="24"/>
        </w:rPr>
        <w:t xml:space="preserve">Kroeker, K. J., Kordas, R. L., Crim, R. N., and Singh, G. G. (2010). Meta-analysis reveals negative yet variable effects of ocean acidification on marine organisms. </w:t>
      </w:r>
      <w:r w:rsidRPr="00264A18">
        <w:rPr>
          <w:i/>
          <w:iCs/>
          <w:noProof/>
          <w:sz w:val="24"/>
          <w:szCs w:val="24"/>
        </w:rPr>
        <w:t>Ecology letters</w:t>
      </w:r>
      <w:r w:rsidRPr="00264A18">
        <w:rPr>
          <w:noProof/>
          <w:sz w:val="24"/>
          <w:szCs w:val="24"/>
        </w:rPr>
        <w:t xml:space="preserve">, </w:t>
      </w:r>
      <w:r w:rsidRPr="00264A18">
        <w:rPr>
          <w:iCs/>
          <w:noProof/>
          <w:sz w:val="24"/>
          <w:szCs w:val="24"/>
        </w:rPr>
        <w:t>13</w:t>
      </w:r>
      <w:r w:rsidRPr="00264A18">
        <w:rPr>
          <w:noProof/>
          <w:sz w:val="24"/>
          <w:szCs w:val="24"/>
        </w:rPr>
        <w:t>(11), 1419–34. doi:10.1111/j.1461-0248.2010.01518.x</w:t>
      </w:r>
    </w:p>
    <w:p w14:paraId="65CACB31" w14:textId="77777777" w:rsidR="00264A18" w:rsidRPr="00264A18" w:rsidRDefault="00264A18" w:rsidP="00264A18">
      <w:pPr>
        <w:pStyle w:val="NormalWeb"/>
        <w:ind w:left="480" w:hanging="480"/>
        <w:rPr>
          <w:noProof/>
          <w:sz w:val="24"/>
          <w:szCs w:val="24"/>
        </w:rPr>
      </w:pPr>
      <w:r w:rsidRPr="00264A18">
        <w:rPr>
          <w:noProof/>
          <w:sz w:val="24"/>
          <w:szCs w:val="24"/>
        </w:rPr>
        <w:t>Kurihara, H., Kato, S., and Ishimatsu, A. (2007). Effects of increased seawater pCO</w:t>
      </w:r>
      <w:r w:rsidRPr="00264A18">
        <w:rPr>
          <w:noProof/>
          <w:sz w:val="24"/>
          <w:szCs w:val="24"/>
          <w:vertAlign w:val="subscript"/>
        </w:rPr>
        <w:t>2</w:t>
      </w:r>
      <w:r w:rsidRPr="00264A18">
        <w:rPr>
          <w:noProof/>
          <w:sz w:val="24"/>
          <w:szCs w:val="24"/>
        </w:rPr>
        <w:t xml:space="preserve"> on early development of the oyster Crassostrea gigas. </w:t>
      </w:r>
      <w:r w:rsidRPr="00264A18">
        <w:rPr>
          <w:i/>
          <w:iCs/>
          <w:noProof/>
          <w:sz w:val="24"/>
          <w:szCs w:val="24"/>
        </w:rPr>
        <w:t>Aquatic Biology</w:t>
      </w:r>
      <w:r w:rsidRPr="00264A18">
        <w:rPr>
          <w:noProof/>
          <w:sz w:val="24"/>
          <w:szCs w:val="24"/>
        </w:rPr>
        <w:t xml:space="preserve">, </w:t>
      </w:r>
      <w:r w:rsidRPr="00264A18">
        <w:rPr>
          <w:iCs/>
          <w:noProof/>
          <w:sz w:val="24"/>
          <w:szCs w:val="24"/>
        </w:rPr>
        <w:t>1</w:t>
      </w:r>
      <w:r w:rsidRPr="00264A18">
        <w:rPr>
          <w:noProof/>
          <w:sz w:val="24"/>
          <w:szCs w:val="24"/>
        </w:rPr>
        <w:t>(1), 91–98. doi:10.3354/ab00009</w:t>
      </w:r>
    </w:p>
    <w:p w14:paraId="2FE202D9" w14:textId="77777777" w:rsidR="00264A18" w:rsidRPr="00264A18" w:rsidRDefault="00264A18" w:rsidP="00264A18">
      <w:pPr>
        <w:pStyle w:val="NormalWeb"/>
        <w:ind w:left="480" w:hanging="480"/>
        <w:rPr>
          <w:noProof/>
          <w:sz w:val="24"/>
          <w:szCs w:val="24"/>
        </w:rPr>
      </w:pPr>
      <w:r w:rsidRPr="00264A18">
        <w:rPr>
          <w:noProof/>
          <w:sz w:val="24"/>
          <w:szCs w:val="24"/>
        </w:rPr>
        <w:t xml:space="preserve">Lacoste, A., Malham, S. K., Cueff, A., Jalabert, F., Gélébart, F., and Poulet, S.A. (2001). Evidence for a form of adrenergic response to stress in the mollusc Crassostrea gigas. </w:t>
      </w:r>
      <w:r w:rsidRPr="00264A18">
        <w:rPr>
          <w:i/>
          <w:iCs/>
          <w:noProof/>
          <w:sz w:val="24"/>
          <w:szCs w:val="24"/>
        </w:rPr>
        <w:t>The Journal of experimental biology</w:t>
      </w:r>
      <w:r w:rsidRPr="00264A18">
        <w:rPr>
          <w:noProof/>
          <w:sz w:val="24"/>
          <w:szCs w:val="24"/>
        </w:rPr>
        <w:t xml:space="preserve">, </w:t>
      </w:r>
      <w:r w:rsidRPr="00264A18">
        <w:rPr>
          <w:iCs/>
          <w:noProof/>
          <w:sz w:val="24"/>
          <w:szCs w:val="24"/>
        </w:rPr>
        <w:t>204</w:t>
      </w:r>
      <w:r w:rsidRPr="00264A18">
        <w:rPr>
          <w:noProof/>
          <w:sz w:val="24"/>
          <w:szCs w:val="24"/>
        </w:rPr>
        <w:t xml:space="preserve">(7), 1247–55. </w:t>
      </w:r>
    </w:p>
    <w:p w14:paraId="0C9415D4" w14:textId="77777777" w:rsidR="00264A18" w:rsidRPr="00264A18" w:rsidRDefault="00264A18" w:rsidP="00264A18">
      <w:pPr>
        <w:pStyle w:val="NormalWeb"/>
        <w:ind w:left="480" w:hanging="480"/>
        <w:rPr>
          <w:noProof/>
          <w:sz w:val="24"/>
          <w:szCs w:val="24"/>
        </w:rPr>
      </w:pPr>
      <w:r w:rsidRPr="00264A18">
        <w:rPr>
          <w:noProof/>
          <w:sz w:val="24"/>
          <w:szCs w:val="24"/>
        </w:rPr>
        <w:t xml:space="preserve">Lacoste, A., Malham, S. K., Cueff, A., and Poulet, S.A. (2001). Stress-induced catecholamine changes in the hemolymph of the oyster Crassostrea gigas. </w:t>
      </w:r>
      <w:r w:rsidRPr="00264A18">
        <w:rPr>
          <w:i/>
          <w:iCs/>
          <w:noProof/>
          <w:sz w:val="24"/>
          <w:szCs w:val="24"/>
        </w:rPr>
        <w:t>General and comparative endocrinology</w:t>
      </w:r>
      <w:r w:rsidRPr="00264A18">
        <w:rPr>
          <w:noProof/>
          <w:sz w:val="24"/>
          <w:szCs w:val="24"/>
        </w:rPr>
        <w:t xml:space="preserve">, </w:t>
      </w:r>
      <w:r w:rsidRPr="00264A18">
        <w:rPr>
          <w:iCs/>
          <w:noProof/>
          <w:sz w:val="24"/>
          <w:szCs w:val="24"/>
        </w:rPr>
        <w:t>122</w:t>
      </w:r>
      <w:r w:rsidRPr="00264A18">
        <w:rPr>
          <w:noProof/>
          <w:sz w:val="24"/>
          <w:szCs w:val="24"/>
        </w:rPr>
        <w:t>(2), 181–8. doi:10.1006/gcen.2001.7629</w:t>
      </w:r>
    </w:p>
    <w:p w14:paraId="28161513" w14:textId="77777777" w:rsidR="00264A18" w:rsidRPr="00264A18" w:rsidRDefault="00264A18" w:rsidP="00264A18">
      <w:pPr>
        <w:pStyle w:val="NormalWeb"/>
        <w:ind w:left="480" w:hanging="480"/>
        <w:rPr>
          <w:noProof/>
          <w:sz w:val="24"/>
          <w:szCs w:val="24"/>
        </w:rPr>
      </w:pPr>
      <w:r w:rsidRPr="00264A18">
        <w:rPr>
          <w:noProof/>
          <w:sz w:val="24"/>
          <w:szCs w:val="24"/>
        </w:rPr>
        <w:t xml:space="preserve">Lannig, G., Eilers, S., Pörtner, H. O., Sokolova, I. M., and Bock, C. (2010). Impact of ocean acidification on energy metabolism of oyster, Crassostrea gigas--changes in metabolic pathways and thermal response. </w:t>
      </w:r>
      <w:r w:rsidRPr="00264A18">
        <w:rPr>
          <w:i/>
          <w:iCs/>
          <w:noProof/>
          <w:sz w:val="24"/>
          <w:szCs w:val="24"/>
        </w:rPr>
        <w:t>Marine drugs</w:t>
      </w:r>
      <w:r w:rsidRPr="00264A18">
        <w:rPr>
          <w:noProof/>
          <w:sz w:val="24"/>
          <w:szCs w:val="24"/>
        </w:rPr>
        <w:t xml:space="preserve">, </w:t>
      </w:r>
      <w:r w:rsidRPr="00264A18">
        <w:rPr>
          <w:iCs/>
          <w:noProof/>
          <w:sz w:val="24"/>
          <w:szCs w:val="24"/>
        </w:rPr>
        <w:t>8</w:t>
      </w:r>
      <w:r w:rsidRPr="00264A18">
        <w:rPr>
          <w:noProof/>
          <w:sz w:val="24"/>
          <w:szCs w:val="24"/>
        </w:rPr>
        <w:t>(8), 2318–39. doi:10.3390/md8082318</w:t>
      </w:r>
    </w:p>
    <w:p w14:paraId="72333013" w14:textId="77777777" w:rsidR="00264A18" w:rsidRPr="00264A18" w:rsidRDefault="00264A18" w:rsidP="00264A18">
      <w:pPr>
        <w:pStyle w:val="NormalWeb"/>
        <w:ind w:left="480" w:hanging="480"/>
        <w:rPr>
          <w:noProof/>
          <w:sz w:val="24"/>
          <w:szCs w:val="24"/>
        </w:rPr>
      </w:pPr>
      <w:r w:rsidRPr="00264A18">
        <w:rPr>
          <w:noProof/>
          <w:sz w:val="24"/>
          <w:szCs w:val="24"/>
        </w:rPr>
        <w:t xml:space="preserve">Lee, S. W., Kim, G. H., and Choi, C. S. (2008). Characteristic crystal orientation of folia in oyster shell, Crassostrea gigas. </w:t>
      </w:r>
      <w:r w:rsidRPr="00264A18">
        <w:rPr>
          <w:i/>
          <w:iCs/>
          <w:noProof/>
          <w:sz w:val="24"/>
          <w:szCs w:val="24"/>
        </w:rPr>
        <w:t>Materials Science and Engineering: C</w:t>
      </w:r>
      <w:r w:rsidRPr="00264A18">
        <w:rPr>
          <w:noProof/>
          <w:sz w:val="24"/>
          <w:szCs w:val="24"/>
        </w:rPr>
        <w:t xml:space="preserve">, </w:t>
      </w:r>
      <w:r w:rsidRPr="00264A18">
        <w:rPr>
          <w:iCs/>
          <w:noProof/>
          <w:sz w:val="24"/>
          <w:szCs w:val="24"/>
        </w:rPr>
        <w:t>28</w:t>
      </w:r>
      <w:r w:rsidRPr="00264A18">
        <w:rPr>
          <w:noProof/>
          <w:sz w:val="24"/>
          <w:szCs w:val="24"/>
        </w:rPr>
        <w:t>(2), 258–263. doi:10.1016/j.msec.2007.01.001</w:t>
      </w:r>
    </w:p>
    <w:p w14:paraId="30C82F41" w14:textId="77777777" w:rsidR="00264A18" w:rsidRPr="00264A18" w:rsidRDefault="00264A18" w:rsidP="00264A18">
      <w:pPr>
        <w:pStyle w:val="NormalWeb"/>
        <w:ind w:left="480" w:hanging="480"/>
        <w:rPr>
          <w:noProof/>
          <w:sz w:val="24"/>
          <w:szCs w:val="24"/>
        </w:rPr>
      </w:pPr>
      <w:r w:rsidRPr="00264A18">
        <w:rPr>
          <w:noProof/>
          <w:sz w:val="24"/>
          <w:szCs w:val="24"/>
        </w:rPr>
        <w:t xml:space="preserve">Letunic, I., Yamada, T., Kanehisa, M., and Bork, P. (2008). iPath: interactive exploration of biochemical pathways and networks. </w:t>
      </w:r>
      <w:r w:rsidRPr="00264A18">
        <w:rPr>
          <w:i/>
          <w:iCs/>
          <w:noProof/>
          <w:sz w:val="24"/>
          <w:szCs w:val="24"/>
        </w:rPr>
        <w:t>Trends in biochemical sciences</w:t>
      </w:r>
      <w:r w:rsidRPr="00264A18">
        <w:rPr>
          <w:noProof/>
          <w:sz w:val="24"/>
          <w:szCs w:val="24"/>
        </w:rPr>
        <w:t xml:space="preserve">, </w:t>
      </w:r>
      <w:r w:rsidRPr="00264A18">
        <w:rPr>
          <w:iCs/>
          <w:noProof/>
          <w:sz w:val="24"/>
          <w:szCs w:val="24"/>
        </w:rPr>
        <w:t>33</w:t>
      </w:r>
      <w:r w:rsidRPr="00264A18">
        <w:rPr>
          <w:noProof/>
          <w:sz w:val="24"/>
          <w:szCs w:val="24"/>
        </w:rPr>
        <w:t>(3), 101–3. doi:10.1016/j.tibs.2008.01.001</w:t>
      </w:r>
    </w:p>
    <w:p w14:paraId="0AC9AF40" w14:textId="77777777" w:rsidR="00264A18" w:rsidRPr="00264A18" w:rsidRDefault="00264A18" w:rsidP="00264A18">
      <w:pPr>
        <w:pStyle w:val="NormalWeb"/>
        <w:ind w:left="480" w:hanging="480"/>
        <w:rPr>
          <w:noProof/>
          <w:sz w:val="24"/>
          <w:szCs w:val="24"/>
        </w:rPr>
      </w:pPr>
      <w:r w:rsidRPr="00264A18">
        <w:rPr>
          <w:noProof/>
          <w:sz w:val="24"/>
          <w:szCs w:val="24"/>
        </w:rPr>
        <w:t>Matoo, O. B., Ivanina, A. V, Ullstad, C., Beniash, E., and Sokolova, I. M. (2013). Interactive effects of elevated temperature and CO</w:t>
      </w:r>
      <w:r w:rsidRPr="00264A18">
        <w:rPr>
          <w:noProof/>
          <w:sz w:val="24"/>
          <w:szCs w:val="24"/>
          <w:vertAlign w:val="subscript"/>
        </w:rPr>
        <w:t>2</w:t>
      </w:r>
      <w:r w:rsidRPr="00264A18">
        <w:rPr>
          <w:noProof/>
          <w:sz w:val="24"/>
          <w:szCs w:val="24"/>
        </w:rPr>
        <w:t xml:space="preserve"> levels on metabolism and oxidative stress in two common marine bivalves (Crassostrea virginica and Mercenaria mercenaria). </w:t>
      </w:r>
      <w:r w:rsidRPr="00264A18">
        <w:rPr>
          <w:i/>
          <w:iCs/>
          <w:noProof/>
          <w:sz w:val="24"/>
          <w:szCs w:val="24"/>
        </w:rPr>
        <w:t>Comparative biochemistry and physiology. Part A, Molecular &amp; integrative physiology</w:t>
      </w:r>
      <w:r w:rsidRPr="00264A18">
        <w:rPr>
          <w:noProof/>
          <w:sz w:val="24"/>
          <w:szCs w:val="24"/>
        </w:rPr>
        <w:t xml:space="preserve">, </w:t>
      </w:r>
      <w:r w:rsidRPr="00264A18">
        <w:rPr>
          <w:iCs/>
          <w:noProof/>
          <w:sz w:val="24"/>
          <w:szCs w:val="24"/>
        </w:rPr>
        <w:t>164</w:t>
      </w:r>
      <w:r w:rsidRPr="00264A18">
        <w:rPr>
          <w:noProof/>
          <w:sz w:val="24"/>
          <w:szCs w:val="24"/>
        </w:rPr>
        <w:t>(4), 545–53. doi:10.1016/j.cbpa.2012.12.025</w:t>
      </w:r>
    </w:p>
    <w:p w14:paraId="7654ED88" w14:textId="77777777" w:rsidR="00264A18" w:rsidRPr="00264A18" w:rsidRDefault="00264A18" w:rsidP="00264A18">
      <w:pPr>
        <w:pStyle w:val="NormalWeb"/>
        <w:ind w:left="480" w:hanging="480"/>
        <w:rPr>
          <w:noProof/>
          <w:sz w:val="24"/>
          <w:szCs w:val="24"/>
        </w:rPr>
      </w:pPr>
      <w:r w:rsidRPr="00264A18">
        <w:rPr>
          <w:noProof/>
          <w:sz w:val="24"/>
          <w:szCs w:val="24"/>
        </w:rPr>
        <w:t>Matson, P. G., Yu, P. C., Sewell, M.A, and Hofmann, G. E. (2012). Development under elevated pCO</w:t>
      </w:r>
      <w:r w:rsidRPr="00264A18">
        <w:rPr>
          <w:noProof/>
          <w:sz w:val="24"/>
          <w:szCs w:val="24"/>
          <w:vertAlign w:val="subscript"/>
        </w:rPr>
        <w:t>2</w:t>
      </w:r>
      <w:r w:rsidRPr="00264A18">
        <w:rPr>
          <w:noProof/>
          <w:sz w:val="24"/>
          <w:szCs w:val="24"/>
        </w:rPr>
        <w:t xml:space="preserve"> conditions does not affect lipid utilization and protein content in early life-history stages of the purple sea urchin, Strongylocentrotus purpuratus. </w:t>
      </w:r>
      <w:r w:rsidRPr="00264A18">
        <w:rPr>
          <w:i/>
          <w:iCs/>
          <w:noProof/>
          <w:sz w:val="24"/>
          <w:szCs w:val="24"/>
        </w:rPr>
        <w:t>The Biological bulletin</w:t>
      </w:r>
      <w:r w:rsidRPr="00264A18">
        <w:rPr>
          <w:noProof/>
          <w:sz w:val="24"/>
          <w:szCs w:val="24"/>
        </w:rPr>
        <w:t xml:space="preserve">, </w:t>
      </w:r>
      <w:r w:rsidRPr="00264A18">
        <w:rPr>
          <w:iCs/>
          <w:noProof/>
          <w:sz w:val="24"/>
          <w:szCs w:val="24"/>
        </w:rPr>
        <w:t>223</w:t>
      </w:r>
      <w:r w:rsidRPr="00264A18">
        <w:rPr>
          <w:noProof/>
          <w:sz w:val="24"/>
          <w:szCs w:val="24"/>
        </w:rPr>
        <w:t xml:space="preserve">(3), 312–27. </w:t>
      </w:r>
    </w:p>
    <w:p w14:paraId="33297EF5" w14:textId="77777777" w:rsidR="00264A18" w:rsidRPr="00264A18" w:rsidRDefault="00264A18" w:rsidP="00264A18">
      <w:pPr>
        <w:pStyle w:val="NormalWeb"/>
        <w:ind w:left="480" w:hanging="480"/>
        <w:rPr>
          <w:noProof/>
          <w:sz w:val="24"/>
          <w:szCs w:val="24"/>
        </w:rPr>
      </w:pPr>
      <w:r w:rsidRPr="00264A18">
        <w:rPr>
          <w:noProof/>
          <w:sz w:val="24"/>
          <w:szCs w:val="24"/>
        </w:rPr>
        <w:t>Melzner, F., Gutowska, M. A., Langenbuch, M., Dupont, S., Lucassen, M., Thorndyke, M. C.,  Bleich, M., and Pörtner, H.-O. (2009). Physiological basis for high CO</w:t>
      </w:r>
      <w:r w:rsidRPr="00264A18">
        <w:rPr>
          <w:noProof/>
          <w:sz w:val="24"/>
          <w:szCs w:val="24"/>
          <w:vertAlign w:val="subscript"/>
        </w:rPr>
        <w:t>2</w:t>
      </w:r>
      <w:r w:rsidRPr="00264A18">
        <w:rPr>
          <w:noProof/>
          <w:sz w:val="24"/>
          <w:szCs w:val="24"/>
        </w:rPr>
        <w:t xml:space="preserve"> tolerance in marine ectothermic animals: pre-adaptation through lifestyle and ontogeny? </w:t>
      </w:r>
      <w:r w:rsidRPr="00264A18">
        <w:rPr>
          <w:i/>
          <w:iCs/>
          <w:noProof/>
          <w:sz w:val="24"/>
          <w:szCs w:val="24"/>
        </w:rPr>
        <w:t>Biogeosciences</w:t>
      </w:r>
      <w:r w:rsidRPr="00264A18">
        <w:rPr>
          <w:noProof/>
          <w:sz w:val="24"/>
          <w:szCs w:val="24"/>
        </w:rPr>
        <w:t xml:space="preserve">, </w:t>
      </w:r>
      <w:r w:rsidRPr="00264A18">
        <w:rPr>
          <w:iCs/>
          <w:noProof/>
          <w:sz w:val="24"/>
          <w:szCs w:val="24"/>
        </w:rPr>
        <w:t>6</w:t>
      </w:r>
      <w:r w:rsidRPr="00264A18">
        <w:rPr>
          <w:noProof/>
          <w:sz w:val="24"/>
          <w:szCs w:val="24"/>
        </w:rPr>
        <w:t>(10), 2313–2331. doi:10.5194/bg-6-2313-2009</w:t>
      </w:r>
    </w:p>
    <w:p w14:paraId="59F83CEB" w14:textId="77777777" w:rsidR="00264A18" w:rsidRPr="00264A18" w:rsidRDefault="00264A18" w:rsidP="00264A18">
      <w:pPr>
        <w:pStyle w:val="NormalWeb"/>
        <w:ind w:left="480" w:hanging="480"/>
        <w:rPr>
          <w:noProof/>
          <w:sz w:val="24"/>
          <w:szCs w:val="24"/>
        </w:rPr>
      </w:pPr>
      <w:r w:rsidRPr="00264A18">
        <w:rPr>
          <w:noProof/>
          <w:sz w:val="24"/>
          <w:szCs w:val="24"/>
        </w:rPr>
        <w:t>Melzner, F., Stange, P., Trübenbach, K., Thomsen, J., Casties, I., Panknin, U.,  Gorb, S.N. and Gutowska, M.A. (2011). Food supply and seawater pCO</w:t>
      </w:r>
      <w:r w:rsidRPr="00264A18">
        <w:rPr>
          <w:noProof/>
          <w:sz w:val="24"/>
          <w:szCs w:val="24"/>
          <w:vertAlign w:val="subscript"/>
        </w:rPr>
        <w:t>2</w:t>
      </w:r>
      <w:r w:rsidRPr="00264A18">
        <w:rPr>
          <w:noProof/>
          <w:sz w:val="24"/>
          <w:szCs w:val="24"/>
        </w:rPr>
        <w:t xml:space="preserve"> impact calcification and internal shell dissolution in the blue mussel Mytilus edulis. </w:t>
      </w:r>
      <w:r w:rsidRPr="00264A18">
        <w:rPr>
          <w:i/>
          <w:iCs/>
          <w:noProof/>
          <w:sz w:val="24"/>
          <w:szCs w:val="24"/>
        </w:rPr>
        <w:t>PloS one</w:t>
      </w:r>
      <w:r w:rsidRPr="00264A18">
        <w:rPr>
          <w:noProof/>
          <w:sz w:val="24"/>
          <w:szCs w:val="24"/>
        </w:rPr>
        <w:t xml:space="preserve">, </w:t>
      </w:r>
      <w:r w:rsidRPr="00264A18">
        <w:rPr>
          <w:iCs/>
          <w:noProof/>
          <w:sz w:val="24"/>
          <w:szCs w:val="24"/>
        </w:rPr>
        <w:t>6</w:t>
      </w:r>
      <w:r w:rsidRPr="00264A18">
        <w:rPr>
          <w:noProof/>
          <w:sz w:val="24"/>
          <w:szCs w:val="24"/>
        </w:rPr>
        <w:t>(9), e24223. doi:10.1371/journal.pone.0024223</w:t>
      </w:r>
    </w:p>
    <w:p w14:paraId="2345DAE4" w14:textId="77777777" w:rsidR="00264A18" w:rsidRPr="00264A18" w:rsidRDefault="00264A18" w:rsidP="00264A18">
      <w:pPr>
        <w:pStyle w:val="NormalWeb"/>
        <w:ind w:left="480" w:hanging="480"/>
        <w:rPr>
          <w:noProof/>
          <w:sz w:val="24"/>
          <w:szCs w:val="24"/>
        </w:rPr>
      </w:pPr>
      <w:r w:rsidRPr="00264A18">
        <w:rPr>
          <w:noProof/>
          <w:sz w:val="24"/>
          <w:szCs w:val="24"/>
        </w:rPr>
        <w:t xml:space="preserve">Michaelidis, B., Ouzounis, C., Paleras, A., and Pörtner, H. O. (2005). Effects of long-term moderate hypercapnia on acid – base balance and growth rate in marine mussels Mytilus galloprovincialis. </w:t>
      </w:r>
      <w:r w:rsidRPr="00264A18">
        <w:rPr>
          <w:i/>
          <w:iCs/>
          <w:noProof/>
          <w:sz w:val="24"/>
          <w:szCs w:val="24"/>
        </w:rPr>
        <w:t>Marine Ecology Progress Series</w:t>
      </w:r>
      <w:r w:rsidRPr="00264A18">
        <w:rPr>
          <w:noProof/>
          <w:sz w:val="24"/>
          <w:szCs w:val="24"/>
        </w:rPr>
        <w:t xml:space="preserve">, </w:t>
      </w:r>
      <w:r w:rsidRPr="00264A18">
        <w:rPr>
          <w:iCs/>
          <w:noProof/>
          <w:sz w:val="24"/>
          <w:szCs w:val="24"/>
        </w:rPr>
        <w:t>293</w:t>
      </w:r>
      <w:r w:rsidRPr="00264A18">
        <w:rPr>
          <w:noProof/>
          <w:sz w:val="24"/>
          <w:szCs w:val="24"/>
        </w:rPr>
        <w:t>, 109–118.</w:t>
      </w:r>
    </w:p>
    <w:p w14:paraId="49EB164C" w14:textId="77777777" w:rsidR="00264A18" w:rsidRPr="00264A18" w:rsidRDefault="00264A18" w:rsidP="00264A18">
      <w:pPr>
        <w:pStyle w:val="NormalWeb"/>
        <w:ind w:left="480" w:hanging="480"/>
        <w:rPr>
          <w:noProof/>
          <w:sz w:val="24"/>
          <w:szCs w:val="24"/>
        </w:rPr>
      </w:pPr>
      <w:r w:rsidRPr="00264A18">
        <w:rPr>
          <w:noProof/>
          <w:sz w:val="24"/>
          <w:szCs w:val="24"/>
        </w:rPr>
        <w:t xml:space="preserve">Milke, L. M., Bricelj, V. M., and Parrish, C. C. (2004). Growth of postlarval sea scallops, Placopecten magellanicus, on microalgal diets, with emphasis on the nutritional role of lipids and fatty acids. </w:t>
      </w:r>
      <w:r w:rsidRPr="00264A18">
        <w:rPr>
          <w:i/>
          <w:iCs/>
          <w:noProof/>
          <w:sz w:val="24"/>
          <w:szCs w:val="24"/>
        </w:rPr>
        <w:t>Aquaculture</w:t>
      </w:r>
      <w:r w:rsidRPr="00264A18">
        <w:rPr>
          <w:noProof/>
          <w:sz w:val="24"/>
          <w:szCs w:val="24"/>
        </w:rPr>
        <w:t xml:space="preserve">, </w:t>
      </w:r>
      <w:r w:rsidRPr="00264A18">
        <w:rPr>
          <w:iCs/>
          <w:noProof/>
          <w:sz w:val="24"/>
          <w:szCs w:val="24"/>
        </w:rPr>
        <w:t>234</w:t>
      </w:r>
      <w:r w:rsidRPr="00264A18">
        <w:rPr>
          <w:noProof/>
          <w:sz w:val="24"/>
          <w:szCs w:val="24"/>
        </w:rPr>
        <w:t>(1-4), 293–317. doi:10.1016/j.aquaculture.2003.11.006</w:t>
      </w:r>
    </w:p>
    <w:p w14:paraId="5AC347A9" w14:textId="77777777" w:rsidR="00264A18" w:rsidRPr="00264A18" w:rsidRDefault="00264A18" w:rsidP="00264A18">
      <w:pPr>
        <w:pStyle w:val="NormalWeb"/>
        <w:ind w:left="480" w:hanging="480"/>
        <w:rPr>
          <w:noProof/>
          <w:sz w:val="24"/>
          <w:szCs w:val="24"/>
        </w:rPr>
      </w:pPr>
      <w:r w:rsidRPr="00264A18">
        <w:rPr>
          <w:noProof/>
          <w:sz w:val="24"/>
          <w:szCs w:val="24"/>
        </w:rPr>
        <w:t xml:space="preserve">Mizock, B. A. (1995). Alterations in Carbohydrate metabolism during stress: A review of the literature. </w:t>
      </w:r>
      <w:r w:rsidRPr="00264A18">
        <w:rPr>
          <w:i/>
          <w:iCs/>
          <w:noProof/>
          <w:sz w:val="24"/>
          <w:szCs w:val="24"/>
        </w:rPr>
        <w:t>The American Journal of Medicine</w:t>
      </w:r>
      <w:r w:rsidRPr="00264A18">
        <w:rPr>
          <w:noProof/>
          <w:sz w:val="24"/>
          <w:szCs w:val="24"/>
        </w:rPr>
        <w:t xml:space="preserve">, </w:t>
      </w:r>
      <w:r w:rsidRPr="00264A18">
        <w:rPr>
          <w:iCs/>
          <w:noProof/>
          <w:sz w:val="24"/>
          <w:szCs w:val="24"/>
        </w:rPr>
        <w:t>98</w:t>
      </w:r>
      <w:r w:rsidRPr="00264A18">
        <w:rPr>
          <w:noProof/>
          <w:sz w:val="24"/>
          <w:szCs w:val="24"/>
        </w:rPr>
        <w:t>, 75–84.</w:t>
      </w:r>
    </w:p>
    <w:p w14:paraId="10A1075F" w14:textId="77777777" w:rsidR="00264A18" w:rsidRPr="00264A18" w:rsidRDefault="00264A18" w:rsidP="00264A18">
      <w:pPr>
        <w:pStyle w:val="NormalWeb"/>
        <w:ind w:left="480" w:hanging="480"/>
        <w:rPr>
          <w:noProof/>
          <w:sz w:val="24"/>
          <w:szCs w:val="24"/>
        </w:rPr>
      </w:pPr>
      <w:r w:rsidRPr="00264A18">
        <w:rPr>
          <w:noProof/>
          <w:sz w:val="24"/>
          <w:szCs w:val="24"/>
        </w:rPr>
        <w:t xml:space="preserve">Mohanty, P., Hamouda, W., Garg, R., Aljada, A., Ghanim, H., and Dandona, P. (2000). Glucose challenge stimulates reactive oxygen species (ROS) generation by leucocytes. </w:t>
      </w:r>
      <w:r w:rsidRPr="00264A18">
        <w:rPr>
          <w:i/>
          <w:iCs/>
          <w:noProof/>
          <w:sz w:val="24"/>
          <w:szCs w:val="24"/>
        </w:rPr>
        <w:t>The Journal of Clinical Endocrinology and Metabolism</w:t>
      </w:r>
      <w:r w:rsidRPr="00264A18">
        <w:rPr>
          <w:noProof/>
          <w:sz w:val="24"/>
          <w:szCs w:val="24"/>
        </w:rPr>
        <w:t xml:space="preserve">, </w:t>
      </w:r>
      <w:r w:rsidRPr="00264A18">
        <w:rPr>
          <w:iCs/>
          <w:noProof/>
          <w:sz w:val="24"/>
          <w:szCs w:val="24"/>
        </w:rPr>
        <w:t>85</w:t>
      </w:r>
      <w:r w:rsidRPr="00264A18">
        <w:rPr>
          <w:noProof/>
          <w:sz w:val="24"/>
          <w:szCs w:val="24"/>
        </w:rPr>
        <w:t>(8), 2970–2973.</w:t>
      </w:r>
    </w:p>
    <w:p w14:paraId="0CA48D59" w14:textId="77777777" w:rsidR="00264A18" w:rsidRPr="00264A18" w:rsidRDefault="00264A18" w:rsidP="00264A18">
      <w:pPr>
        <w:pStyle w:val="NormalWeb"/>
        <w:ind w:left="480" w:hanging="480"/>
        <w:rPr>
          <w:noProof/>
          <w:sz w:val="24"/>
          <w:szCs w:val="24"/>
        </w:rPr>
      </w:pPr>
      <w:r w:rsidRPr="00264A18">
        <w:rPr>
          <w:noProof/>
          <w:sz w:val="24"/>
          <w:szCs w:val="24"/>
        </w:rPr>
        <w:t xml:space="preserve">Mukherjee, J., Wong, K. K. W., Chandramouli, K. H., Qian, P.-Y., Leung, P. T. Y., Wu, R. S. S., &amp; Thiyagarajan, V. (2013). Proteomic response of marine invertebrate larvae to ocean acidification and hypoxia during metamorphosis and calcification. </w:t>
      </w:r>
      <w:r w:rsidRPr="00264A18">
        <w:rPr>
          <w:i/>
          <w:iCs/>
          <w:noProof/>
          <w:sz w:val="24"/>
          <w:szCs w:val="24"/>
        </w:rPr>
        <w:t>The Journal of experimental biology</w:t>
      </w:r>
      <w:r w:rsidRPr="00264A18">
        <w:rPr>
          <w:noProof/>
          <w:sz w:val="24"/>
          <w:szCs w:val="24"/>
        </w:rPr>
        <w:t xml:space="preserve">, </w:t>
      </w:r>
      <w:r w:rsidRPr="00264A18">
        <w:rPr>
          <w:iCs/>
          <w:noProof/>
          <w:sz w:val="24"/>
          <w:szCs w:val="24"/>
        </w:rPr>
        <w:t>216</w:t>
      </w:r>
      <w:r w:rsidRPr="00264A18">
        <w:rPr>
          <w:noProof/>
          <w:sz w:val="24"/>
          <w:szCs w:val="24"/>
        </w:rPr>
        <w:t>(Pt 24), 4580–9. doi:10.1242/jeb.094516</w:t>
      </w:r>
    </w:p>
    <w:p w14:paraId="1FCF4DE6" w14:textId="77777777" w:rsidR="00264A18" w:rsidRPr="00264A18" w:rsidRDefault="00264A18" w:rsidP="00264A18">
      <w:pPr>
        <w:pStyle w:val="NormalWeb"/>
        <w:ind w:left="480" w:hanging="480"/>
        <w:rPr>
          <w:noProof/>
          <w:sz w:val="24"/>
          <w:szCs w:val="24"/>
        </w:rPr>
      </w:pPr>
      <w:r w:rsidRPr="00264A18">
        <w:rPr>
          <w:noProof/>
          <w:sz w:val="24"/>
          <w:szCs w:val="24"/>
        </w:rPr>
        <w:t xml:space="preserve">O’Donnell, M. J., George, M. N.,  and Carrington, E. (2013). Mussel byssus attachment weakened by ocean acidification. </w:t>
      </w:r>
      <w:r w:rsidRPr="00264A18">
        <w:rPr>
          <w:i/>
          <w:iCs/>
          <w:noProof/>
          <w:sz w:val="24"/>
          <w:szCs w:val="24"/>
        </w:rPr>
        <w:t>Nature Climate Change</w:t>
      </w:r>
      <w:r w:rsidRPr="00264A18">
        <w:rPr>
          <w:noProof/>
          <w:sz w:val="24"/>
          <w:szCs w:val="24"/>
        </w:rPr>
        <w:t xml:space="preserve">, </w:t>
      </w:r>
      <w:r w:rsidRPr="00264A18">
        <w:rPr>
          <w:iCs/>
          <w:noProof/>
          <w:sz w:val="24"/>
          <w:szCs w:val="24"/>
        </w:rPr>
        <w:t>3</w:t>
      </w:r>
      <w:r w:rsidRPr="00264A18">
        <w:rPr>
          <w:noProof/>
          <w:sz w:val="24"/>
          <w:szCs w:val="24"/>
        </w:rPr>
        <w:t>(6), 587–590. doi:10.1038/nclimate1846</w:t>
      </w:r>
    </w:p>
    <w:p w14:paraId="6EEC3DBA" w14:textId="77777777" w:rsidR="00264A18" w:rsidRPr="00264A18" w:rsidRDefault="00264A18" w:rsidP="00264A18">
      <w:pPr>
        <w:pStyle w:val="NormalWeb"/>
        <w:ind w:left="480" w:hanging="480"/>
        <w:rPr>
          <w:noProof/>
          <w:sz w:val="24"/>
          <w:szCs w:val="24"/>
        </w:rPr>
      </w:pPr>
      <w:r w:rsidRPr="00264A18">
        <w:rPr>
          <w:noProof/>
          <w:sz w:val="24"/>
          <w:szCs w:val="24"/>
        </w:rPr>
        <w:t>Oksanen, J., Guillaume Blanchet, F., Kindt, R., Legendre, P., Minchin, P.R., O'Hara, R.B., Simpson, G.L., Solymos P., Stevens, M.H.H., and Wagner, H. (2013). vegan: Community Ecology Package. R package version 2.0-8. http://CRAN.R-project.org/package=vegan.</w:t>
      </w:r>
    </w:p>
    <w:p w14:paraId="78090C37" w14:textId="77777777" w:rsidR="00264A18" w:rsidRPr="00264A18" w:rsidRDefault="00264A18" w:rsidP="00264A18">
      <w:pPr>
        <w:pStyle w:val="NormalWeb"/>
        <w:ind w:left="480" w:hanging="480"/>
        <w:rPr>
          <w:noProof/>
          <w:sz w:val="24"/>
          <w:szCs w:val="24"/>
        </w:rPr>
      </w:pPr>
      <w:r w:rsidRPr="00264A18">
        <w:rPr>
          <w:noProof/>
          <w:sz w:val="24"/>
          <w:szCs w:val="24"/>
        </w:rPr>
        <w:t xml:space="preserve">Orr, J. C., Fabry, V. J., Aumont, O., Bopp, L., Doney, S. C., Feely, R.A., Gnandesikan, A., Gruber, N., Ishida, A., Joos, F. et al. (2005). Anthropogenic ocean acidification over the twenty-first century and its impact on calcifying organisms. </w:t>
      </w:r>
      <w:r w:rsidRPr="00264A18">
        <w:rPr>
          <w:i/>
          <w:iCs/>
          <w:noProof/>
          <w:sz w:val="24"/>
          <w:szCs w:val="24"/>
        </w:rPr>
        <w:t>Nature</w:t>
      </w:r>
      <w:r w:rsidRPr="00264A18">
        <w:rPr>
          <w:noProof/>
          <w:sz w:val="24"/>
          <w:szCs w:val="24"/>
        </w:rPr>
        <w:t xml:space="preserve">, </w:t>
      </w:r>
      <w:r w:rsidRPr="00264A18">
        <w:rPr>
          <w:iCs/>
          <w:noProof/>
          <w:sz w:val="24"/>
          <w:szCs w:val="24"/>
        </w:rPr>
        <w:t>437</w:t>
      </w:r>
      <w:r w:rsidRPr="00264A18">
        <w:rPr>
          <w:noProof/>
          <w:sz w:val="24"/>
          <w:szCs w:val="24"/>
        </w:rPr>
        <w:t>(7059), 681–6. doi:10.1038/nature04095</w:t>
      </w:r>
    </w:p>
    <w:p w14:paraId="0E269FBB" w14:textId="77777777" w:rsidR="00264A18" w:rsidRPr="00264A18" w:rsidRDefault="00264A18" w:rsidP="00264A18">
      <w:pPr>
        <w:pStyle w:val="NormalWeb"/>
        <w:ind w:left="480" w:hanging="480"/>
        <w:rPr>
          <w:noProof/>
          <w:sz w:val="24"/>
          <w:szCs w:val="24"/>
        </w:rPr>
      </w:pPr>
      <w:r w:rsidRPr="00264A18">
        <w:rPr>
          <w:noProof/>
          <w:sz w:val="24"/>
          <w:szCs w:val="24"/>
        </w:rPr>
        <w:t xml:space="preserve">Paine, R. T. (1971). Energy flow in a natural population of the herbivorous gastropod Tegula funebralis. </w:t>
      </w:r>
      <w:r w:rsidRPr="00264A18">
        <w:rPr>
          <w:i/>
          <w:iCs/>
          <w:noProof/>
          <w:sz w:val="24"/>
          <w:szCs w:val="24"/>
        </w:rPr>
        <w:t>Limnology and Oceanography</w:t>
      </w:r>
      <w:r w:rsidRPr="00264A18">
        <w:rPr>
          <w:noProof/>
          <w:sz w:val="24"/>
          <w:szCs w:val="24"/>
        </w:rPr>
        <w:t xml:space="preserve">, </w:t>
      </w:r>
      <w:r w:rsidRPr="00264A18">
        <w:rPr>
          <w:iCs/>
          <w:noProof/>
          <w:sz w:val="24"/>
          <w:szCs w:val="24"/>
        </w:rPr>
        <w:t>16</w:t>
      </w:r>
      <w:r w:rsidRPr="00264A18">
        <w:rPr>
          <w:noProof/>
          <w:sz w:val="24"/>
          <w:szCs w:val="24"/>
        </w:rPr>
        <w:t>(1), 86–98.</w:t>
      </w:r>
    </w:p>
    <w:p w14:paraId="7ACA853F" w14:textId="77777777" w:rsidR="00264A18" w:rsidRPr="00264A18" w:rsidRDefault="00264A18" w:rsidP="00264A18">
      <w:pPr>
        <w:pStyle w:val="NormalWeb"/>
        <w:ind w:left="480" w:hanging="480"/>
        <w:rPr>
          <w:noProof/>
          <w:sz w:val="24"/>
          <w:szCs w:val="24"/>
        </w:rPr>
      </w:pPr>
      <w:r w:rsidRPr="00264A18">
        <w:rPr>
          <w:noProof/>
          <w:sz w:val="24"/>
          <w:szCs w:val="24"/>
        </w:rPr>
        <w:t xml:space="preserve">Palmer, A. R. (1992). Calcification in marine molluscs: how costly is it? </w:t>
      </w:r>
      <w:r w:rsidRPr="00264A18">
        <w:rPr>
          <w:i/>
          <w:iCs/>
          <w:noProof/>
          <w:sz w:val="24"/>
          <w:szCs w:val="24"/>
        </w:rPr>
        <w:t>Proceedings of the National Academy of Sciences of the United States of America</w:t>
      </w:r>
      <w:r w:rsidRPr="00264A18">
        <w:rPr>
          <w:noProof/>
          <w:sz w:val="24"/>
          <w:szCs w:val="24"/>
        </w:rPr>
        <w:t xml:space="preserve">, </w:t>
      </w:r>
      <w:r w:rsidRPr="00264A18">
        <w:rPr>
          <w:iCs/>
          <w:noProof/>
          <w:sz w:val="24"/>
          <w:szCs w:val="24"/>
        </w:rPr>
        <w:t>89</w:t>
      </w:r>
      <w:r w:rsidRPr="00264A18">
        <w:rPr>
          <w:noProof/>
          <w:sz w:val="24"/>
          <w:szCs w:val="24"/>
        </w:rPr>
        <w:t>(4), 1379–82.</w:t>
      </w:r>
    </w:p>
    <w:p w14:paraId="4666CA8E" w14:textId="77777777" w:rsidR="00264A18" w:rsidRPr="00264A18" w:rsidRDefault="00264A18" w:rsidP="00264A18">
      <w:pPr>
        <w:pStyle w:val="NormalWeb"/>
        <w:ind w:left="480" w:hanging="480"/>
        <w:rPr>
          <w:noProof/>
          <w:sz w:val="24"/>
          <w:szCs w:val="24"/>
        </w:rPr>
      </w:pPr>
      <w:r w:rsidRPr="00264A18">
        <w:rPr>
          <w:noProof/>
          <w:sz w:val="24"/>
          <w:szCs w:val="24"/>
        </w:rPr>
        <w:t xml:space="preserve">Pamplona, R., Barja, G., and Portero-Otín, M. (2002). Membrane Fatty Acid Unsaturation, Protection against Oxidative Stress, and Maximum Life Span. </w:t>
      </w:r>
      <w:r w:rsidRPr="00264A18">
        <w:rPr>
          <w:i/>
          <w:iCs/>
          <w:noProof/>
          <w:sz w:val="24"/>
          <w:szCs w:val="24"/>
        </w:rPr>
        <w:t>Annals of the New York Academy of Sciences</w:t>
      </w:r>
      <w:r w:rsidRPr="00264A18">
        <w:rPr>
          <w:noProof/>
          <w:sz w:val="24"/>
          <w:szCs w:val="24"/>
        </w:rPr>
        <w:t xml:space="preserve">, </w:t>
      </w:r>
      <w:r w:rsidRPr="00264A18">
        <w:rPr>
          <w:iCs/>
          <w:noProof/>
          <w:sz w:val="24"/>
          <w:szCs w:val="24"/>
        </w:rPr>
        <w:t>959</w:t>
      </w:r>
      <w:r w:rsidRPr="00264A18">
        <w:rPr>
          <w:noProof/>
          <w:sz w:val="24"/>
          <w:szCs w:val="24"/>
        </w:rPr>
        <w:t>, 475–490.</w:t>
      </w:r>
    </w:p>
    <w:p w14:paraId="70758F69" w14:textId="77777777" w:rsidR="00264A18" w:rsidRPr="00264A18" w:rsidRDefault="00264A18" w:rsidP="00264A18">
      <w:pPr>
        <w:pStyle w:val="NormalWeb"/>
        <w:ind w:left="480" w:hanging="480"/>
        <w:rPr>
          <w:noProof/>
          <w:sz w:val="24"/>
          <w:szCs w:val="24"/>
        </w:rPr>
      </w:pPr>
      <w:r w:rsidRPr="00264A18">
        <w:rPr>
          <w:noProof/>
          <w:sz w:val="24"/>
          <w:szCs w:val="24"/>
        </w:rPr>
        <w:t>Parker, L. M., Ross, P. M., and O’Connor, W.A. (2010). Comparing the effect of elevated pCO</w:t>
      </w:r>
      <w:r w:rsidRPr="00264A18">
        <w:rPr>
          <w:noProof/>
          <w:sz w:val="24"/>
          <w:szCs w:val="24"/>
          <w:vertAlign w:val="subscript"/>
        </w:rPr>
        <w:t>2</w:t>
      </w:r>
      <w:r w:rsidRPr="00264A18">
        <w:rPr>
          <w:noProof/>
          <w:sz w:val="24"/>
          <w:szCs w:val="24"/>
        </w:rPr>
        <w:t xml:space="preserve"> and temperature on the fertilization and early development of two species of oysters. </w:t>
      </w:r>
      <w:r w:rsidRPr="00264A18">
        <w:rPr>
          <w:i/>
          <w:iCs/>
          <w:noProof/>
          <w:sz w:val="24"/>
          <w:szCs w:val="24"/>
        </w:rPr>
        <w:t>Marine Biology</w:t>
      </w:r>
      <w:r w:rsidRPr="00264A18">
        <w:rPr>
          <w:noProof/>
          <w:sz w:val="24"/>
          <w:szCs w:val="24"/>
        </w:rPr>
        <w:t xml:space="preserve">, </w:t>
      </w:r>
      <w:r w:rsidRPr="00264A18">
        <w:rPr>
          <w:iCs/>
          <w:noProof/>
          <w:sz w:val="24"/>
          <w:szCs w:val="24"/>
        </w:rPr>
        <w:t>157</w:t>
      </w:r>
      <w:r w:rsidRPr="00264A18">
        <w:rPr>
          <w:noProof/>
          <w:sz w:val="24"/>
          <w:szCs w:val="24"/>
        </w:rPr>
        <w:t>(11), 2435–2452. doi:10.1007/s00227-010-1508-3</w:t>
      </w:r>
    </w:p>
    <w:p w14:paraId="690BA993" w14:textId="77777777" w:rsidR="00264A18" w:rsidRPr="00264A18" w:rsidRDefault="00264A18" w:rsidP="00264A18">
      <w:pPr>
        <w:pStyle w:val="NormalWeb"/>
        <w:ind w:left="480" w:hanging="480"/>
        <w:rPr>
          <w:noProof/>
          <w:sz w:val="24"/>
          <w:szCs w:val="24"/>
        </w:rPr>
      </w:pPr>
      <w:r w:rsidRPr="00264A18">
        <w:rPr>
          <w:noProof/>
          <w:sz w:val="24"/>
          <w:szCs w:val="24"/>
        </w:rPr>
        <w:t>Parrou, J. L., Teste, M., Franqois, J., Durand, G., and Cnrs, U. M. R. (1997). Effects of various types of stress on the metabolism of reserve carbohydrates in Saccharomyces cerevisiae</w:t>
      </w:r>
      <w:r w:rsidRPr="00264A18">
        <w:rPr>
          <w:rFonts w:ascii="Times New Roman" w:hAnsi="Times New Roman"/>
          <w:noProof/>
          <w:sz w:val="24"/>
          <w:szCs w:val="24"/>
        </w:rPr>
        <w:t> </w:t>
      </w:r>
      <w:r w:rsidRPr="00264A18">
        <w:rPr>
          <w:noProof/>
          <w:sz w:val="24"/>
          <w:szCs w:val="24"/>
        </w:rPr>
        <w:t xml:space="preserve">: genetic evidence for a stress-induced recycling of glycogen and trehalose. </w:t>
      </w:r>
      <w:r w:rsidRPr="00264A18">
        <w:rPr>
          <w:i/>
          <w:noProof/>
          <w:sz w:val="24"/>
          <w:szCs w:val="24"/>
        </w:rPr>
        <w:t>Microbiology</w:t>
      </w:r>
      <w:r w:rsidRPr="00264A18">
        <w:rPr>
          <w:noProof/>
          <w:sz w:val="24"/>
          <w:szCs w:val="24"/>
        </w:rPr>
        <w:t>, 143, 1891–1900.</w:t>
      </w:r>
    </w:p>
    <w:p w14:paraId="7F75651C" w14:textId="77777777" w:rsidR="00264A18" w:rsidRPr="00264A18" w:rsidRDefault="00264A18" w:rsidP="00264A18">
      <w:pPr>
        <w:pStyle w:val="NormalWeb"/>
        <w:ind w:left="480" w:hanging="480"/>
        <w:rPr>
          <w:noProof/>
          <w:sz w:val="24"/>
          <w:szCs w:val="24"/>
        </w:rPr>
      </w:pPr>
      <w:r w:rsidRPr="00264A18">
        <w:rPr>
          <w:noProof/>
          <w:sz w:val="24"/>
          <w:szCs w:val="24"/>
        </w:rPr>
        <w:t xml:space="preserve">Pespeni, M. H., Sanford, E., Gaylord, B., Hill, T. M., Hosfelt, J. D., Jaris, H. K., LaVigne, M., Lenz, E.A., Russell, A.D., Young, M.D., et al. (2013). Evolutionary change during experimental ocean acidification. </w:t>
      </w:r>
      <w:r w:rsidRPr="00264A18">
        <w:rPr>
          <w:i/>
          <w:iCs/>
          <w:noProof/>
          <w:sz w:val="24"/>
          <w:szCs w:val="24"/>
        </w:rPr>
        <w:t>Proceedings of the National Academy of Sciences of the United States of America</w:t>
      </w:r>
      <w:r w:rsidRPr="00264A18">
        <w:rPr>
          <w:noProof/>
          <w:sz w:val="24"/>
          <w:szCs w:val="24"/>
        </w:rPr>
        <w:t xml:space="preserve">, </w:t>
      </w:r>
      <w:r w:rsidRPr="00264A18">
        <w:rPr>
          <w:iCs/>
          <w:noProof/>
          <w:sz w:val="24"/>
          <w:szCs w:val="24"/>
        </w:rPr>
        <w:t>110</w:t>
      </w:r>
      <w:r w:rsidRPr="00264A18">
        <w:rPr>
          <w:noProof/>
          <w:sz w:val="24"/>
          <w:szCs w:val="24"/>
        </w:rPr>
        <w:t>(17), 6937–42. doi:10.1073/pnas.1220673110</w:t>
      </w:r>
    </w:p>
    <w:p w14:paraId="55B4D4E9" w14:textId="77777777" w:rsidR="00264A18" w:rsidRPr="00264A18" w:rsidRDefault="00264A18" w:rsidP="00264A18">
      <w:pPr>
        <w:pStyle w:val="NormalWeb"/>
        <w:ind w:left="480" w:hanging="480"/>
        <w:rPr>
          <w:noProof/>
          <w:sz w:val="24"/>
          <w:szCs w:val="24"/>
        </w:rPr>
      </w:pPr>
      <w:r w:rsidRPr="00264A18">
        <w:rPr>
          <w:noProof/>
          <w:sz w:val="24"/>
          <w:szCs w:val="24"/>
        </w:rPr>
        <w:t xml:space="preserve">Pettersen, A. K., Turchini, G. M., Jahangard, S., Ingram, B.A., and Sherman, C. D. H. (2010). Effects of different dietary microalgae on survival, growth, settlement and fatty acid composition of blue mussel (Mytilus galloprovincialis) larvae. </w:t>
      </w:r>
      <w:r w:rsidRPr="00264A18">
        <w:rPr>
          <w:i/>
          <w:iCs/>
          <w:noProof/>
          <w:sz w:val="24"/>
          <w:szCs w:val="24"/>
        </w:rPr>
        <w:t>Aquaculture</w:t>
      </w:r>
      <w:r w:rsidRPr="00264A18">
        <w:rPr>
          <w:noProof/>
          <w:sz w:val="24"/>
          <w:szCs w:val="24"/>
        </w:rPr>
        <w:t xml:space="preserve">, </w:t>
      </w:r>
      <w:r w:rsidRPr="00264A18">
        <w:rPr>
          <w:iCs/>
          <w:noProof/>
          <w:sz w:val="24"/>
          <w:szCs w:val="24"/>
        </w:rPr>
        <w:t>309</w:t>
      </w:r>
      <w:r w:rsidRPr="00264A18">
        <w:rPr>
          <w:noProof/>
          <w:sz w:val="24"/>
          <w:szCs w:val="24"/>
        </w:rPr>
        <w:t>(1-4), 115–124. doi:10.1016/j.aquaculture.2010.09.024</w:t>
      </w:r>
    </w:p>
    <w:p w14:paraId="1558E4A9" w14:textId="77777777" w:rsidR="00264A18" w:rsidRPr="00264A18" w:rsidRDefault="00264A18" w:rsidP="00264A18">
      <w:pPr>
        <w:pStyle w:val="NormalWeb"/>
        <w:ind w:left="480" w:hanging="480"/>
        <w:rPr>
          <w:noProof/>
          <w:sz w:val="24"/>
          <w:szCs w:val="24"/>
        </w:rPr>
      </w:pPr>
      <w:r w:rsidRPr="00264A18">
        <w:rPr>
          <w:noProof/>
          <w:sz w:val="24"/>
          <w:szCs w:val="24"/>
        </w:rPr>
        <w:t>R Core Team (2013). R: A language and environment for statistical computing. R Foundation for Statistical Computing, Vienna, Austria. URL http://www.R-project.org/.</w:t>
      </w:r>
    </w:p>
    <w:p w14:paraId="0E48DE18" w14:textId="77777777" w:rsidR="00264A18" w:rsidRPr="00264A18" w:rsidRDefault="00264A18" w:rsidP="00264A18">
      <w:pPr>
        <w:pStyle w:val="NormalWeb"/>
        <w:ind w:left="480" w:hanging="480"/>
        <w:rPr>
          <w:noProof/>
          <w:sz w:val="24"/>
          <w:szCs w:val="24"/>
        </w:rPr>
      </w:pPr>
      <w:r w:rsidRPr="00264A18">
        <w:rPr>
          <w:noProof/>
          <w:sz w:val="24"/>
          <w:szCs w:val="24"/>
        </w:rPr>
        <w:t>Robbins, L.L., Hansen, M.E., Kleypas, J.A., and Meylan, S.C. (2010). CO</w:t>
      </w:r>
      <w:r w:rsidRPr="00264A18">
        <w:rPr>
          <w:noProof/>
          <w:sz w:val="24"/>
          <w:szCs w:val="24"/>
          <w:vertAlign w:val="subscript"/>
        </w:rPr>
        <w:t>2</w:t>
      </w:r>
      <w:r w:rsidRPr="00264A18">
        <w:rPr>
          <w:noProof/>
          <w:sz w:val="24"/>
          <w:szCs w:val="24"/>
        </w:rPr>
        <w:t>calc - A user-friends seawater carbon calculator for Windows, Mac OS X, and iOS (iPhone): U.S. Geoglogical Survey Open-File Report 2010-1280. 17 pp.</w:t>
      </w:r>
    </w:p>
    <w:p w14:paraId="1C7D0920" w14:textId="77777777" w:rsidR="00264A18" w:rsidRPr="00264A18" w:rsidRDefault="00264A18" w:rsidP="00264A18">
      <w:pPr>
        <w:pStyle w:val="NormalWeb"/>
        <w:ind w:left="480" w:hanging="480"/>
        <w:rPr>
          <w:noProof/>
          <w:sz w:val="24"/>
          <w:szCs w:val="24"/>
        </w:rPr>
      </w:pPr>
      <w:r w:rsidRPr="00264A18">
        <w:rPr>
          <w:noProof/>
          <w:sz w:val="24"/>
          <w:szCs w:val="24"/>
        </w:rPr>
        <w:t xml:space="preserve">Rosenberg, G. D. and Hughes, W. W. (1991). A metabolic model for the determination of shell composition in the bivalve mollusc, Mytilus edulis. </w:t>
      </w:r>
      <w:r w:rsidRPr="00264A18">
        <w:rPr>
          <w:i/>
          <w:iCs/>
          <w:noProof/>
          <w:sz w:val="24"/>
          <w:szCs w:val="24"/>
        </w:rPr>
        <w:t>Lethaia</w:t>
      </w:r>
      <w:r w:rsidRPr="00264A18">
        <w:rPr>
          <w:noProof/>
          <w:sz w:val="24"/>
          <w:szCs w:val="24"/>
        </w:rPr>
        <w:t xml:space="preserve">, </w:t>
      </w:r>
      <w:r w:rsidRPr="00264A18">
        <w:rPr>
          <w:iCs/>
          <w:noProof/>
          <w:sz w:val="24"/>
          <w:szCs w:val="24"/>
        </w:rPr>
        <w:t>24</w:t>
      </w:r>
      <w:r w:rsidRPr="00264A18">
        <w:rPr>
          <w:noProof/>
          <w:sz w:val="24"/>
          <w:szCs w:val="24"/>
        </w:rPr>
        <w:t>(1), 83–96.</w:t>
      </w:r>
    </w:p>
    <w:p w14:paraId="03D3D244" w14:textId="77777777" w:rsidR="00264A18" w:rsidRPr="00264A18" w:rsidRDefault="00264A18" w:rsidP="00264A18">
      <w:pPr>
        <w:pStyle w:val="NormalWeb"/>
        <w:ind w:left="480" w:hanging="480"/>
        <w:rPr>
          <w:noProof/>
          <w:sz w:val="24"/>
          <w:szCs w:val="24"/>
        </w:rPr>
      </w:pPr>
      <w:r w:rsidRPr="00264A18">
        <w:rPr>
          <w:noProof/>
          <w:sz w:val="24"/>
          <w:szCs w:val="24"/>
        </w:rPr>
        <w:t xml:space="preserve">Soudant, P., Van Ryckeghem, K., Marty, Y., Moal, J., Samain, J. F., and Sorgeloos, P. (1999). Comparison of the lipid class and fatty acid composition between a reproductive cycle in nature and a standard hatchery conditioning of the Pacific Oyster Crassostrea gigas. </w:t>
      </w:r>
      <w:r w:rsidRPr="00264A18">
        <w:rPr>
          <w:i/>
          <w:iCs/>
          <w:noProof/>
          <w:sz w:val="24"/>
          <w:szCs w:val="24"/>
        </w:rPr>
        <w:t>Comparative Biochemistry and Physiology Part B: Biochemistry and Molecular Biology</w:t>
      </w:r>
      <w:r w:rsidRPr="00264A18">
        <w:rPr>
          <w:noProof/>
          <w:sz w:val="24"/>
          <w:szCs w:val="24"/>
        </w:rPr>
        <w:t xml:space="preserve">, </w:t>
      </w:r>
      <w:r w:rsidRPr="00264A18">
        <w:rPr>
          <w:iCs/>
          <w:noProof/>
          <w:sz w:val="24"/>
          <w:szCs w:val="24"/>
        </w:rPr>
        <w:t>123</w:t>
      </w:r>
      <w:r w:rsidRPr="00264A18">
        <w:rPr>
          <w:noProof/>
          <w:sz w:val="24"/>
          <w:szCs w:val="24"/>
        </w:rPr>
        <w:t>(2), 209–222. doi:10.1016/S0305-0491(99)00063-2</w:t>
      </w:r>
    </w:p>
    <w:p w14:paraId="703632AC" w14:textId="77777777" w:rsidR="00264A18" w:rsidRPr="00264A18" w:rsidRDefault="00264A18" w:rsidP="00264A18">
      <w:pPr>
        <w:pStyle w:val="NormalWeb"/>
        <w:ind w:left="480" w:hanging="480"/>
        <w:rPr>
          <w:noProof/>
          <w:sz w:val="24"/>
          <w:szCs w:val="24"/>
        </w:rPr>
      </w:pPr>
      <w:r w:rsidRPr="00264A18">
        <w:rPr>
          <w:noProof/>
          <w:sz w:val="24"/>
          <w:szCs w:val="24"/>
        </w:rPr>
        <w:t xml:space="preserve">Storey, J. D. (2002). A direct approach to false discovery rates. </w:t>
      </w:r>
      <w:r w:rsidRPr="00264A18">
        <w:rPr>
          <w:i/>
          <w:iCs/>
          <w:noProof/>
          <w:sz w:val="24"/>
          <w:szCs w:val="24"/>
        </w:rPr>
        <w:t>Journal of the Royal Statistical Society: Series B (Statistical Methodology)</w:t>
      </w:r>
      <w:r w:rsidRPr="00264A18">
        <w:rPr>
          <w:noProof/>
          <w:sz w:val="24"/>
          <w:szCs w:val="24"/>
        </w:rPr>
        <w:t xml:space="preserve">, </w:t>
      </w:r>
      <w:r w:rsidRPr="00264A18">
        <w:rPr>
          <w:iCs/>
          <w:noProof/>
          <w:sz w:val="24"/>
          <w:szCs w:val="24"/>
        </w:rPr>
        <w:t>64</w:t>
      </w:r>
      <w:r w:rsidRPr="00264A18">
        <w:rPr>
          <w:noProof/>
          <w:sz w:val="24"/>
          <w:szCs w:val="24"/>
        </w:rPr>
        <w:t>(3), 479–498. doi:10.1111/1467-9868.00346</w:t>
      </w:r>
    </w:p>
    <w:p w14:paraId="6A42E49F" w14:textId="77777777" w:rsidR="00264A18" w:rsidRPr="00264A18" w:rsidRDefault="00264A18" w:rsidP="00264A18">
      <w:pPr>
        <w:pStyle w:val="NormalWeb"/>
        <w:ind w:left="480" w:hanging="480"/>
        <w:rPr>
          <w:noProof/>
          <w:sz w:val="24"/>
          <w:szCs w:val="24"/>
        </w:rPr>
      </w:pPr>
      <w:r w:rsidRPr="00264A18">
        <w:rPr>
          <w:noProof/>
          <w:sz w:val="24"/>
          <w:szCs w:val="24"/>
        </w:rPr>
        <w:t xml:space="preserve">Storey, J. D. and Tibshirani, R. (2003). Statistical significance for genomewide studies. </w:t>
      </w:r>
      <w:r w:rsidRPr="00264A18">
        <w:rPr>
          <w:i/>
          <w:iCs/>
          <w:noProof/>
          <w:sz w:val="24"/>
          <w:szCs w:val="24"/>
        </w:rPr>
        <w:t>Proceedings of the National Academy of Sciences of the United States of America</w:t>
      </w:r>
      <w:r w:rsidRPr="00264A18">
        <w:rPr>
          <w:noProof/>
          <w:sz w:val="24"/>
          <w:szCs w:val="24"/>
        </w:rPr>
        <w:t xml:space="preserve">, </w:t>
      </w:r>
      <w:r w:rsidRPr="00264A18">
        <w:rPr>
          <w:iCs/>
          <w:noProof/>
          <w:sz w:val="24"/>
          <w:szCs w:val="24"/>
        </w:rPr>
        <w:t>100</w:t>
      </w:r>
      <w:r w:rsidRPr="00264A18">
        <w:rPr>
          <w:noProof/>
          <w:sz w:val="24"/>
          <w:szCs w:val="24"/>
        </w:rPr>
        <w:t>(16), 9440–5. doi:10.1073/pnas.1530509100</w:t>
      </w:r>
    </w:p>
    <w:p w14:paraId="23499695" w14:textId="77777777" w:rsidR="00264A18" w:rsidRPr="00264A18" w:rsidRDefault="00264A18" w:rsidP="00264A18">
      <w:pPr>
        <w:pStyle w:val="NormalWeb"/>
        <w:ind w:left="480" w:hanging="480"/>
        <w:rPr>
          <w:noProof/>
          <w:sz w:val="24"/>
          <w:szCs w:val="24"/>
        </w:rPr>
      </w:pPr>
      <w:r w:rsidRPr="00264A18">
        <w:rPr>
          <w:noProof/>
          <w:sz w:val="24"/>
          <w:szCs w:val="24"/>
        </w:rPr>
        <w:t>Stumpp, M., Wren, J., Melzner, F., Thorndyke, M. C., and Dupont, S. T. (2011). CO</w:t>
      </w:r>
      <w:r w:rsidRPr="00264A18">
        <w:rPr>
          <w:noProof/>
          <w:sz w:val="24"/>
          <w:szCs w:val="24"/>
          <w:vertAlign w:val="subscript"/>
        </w:rPr>
        <w:t>2</w:t>
      </w:r>
      <w:r w:rsidRPr="00264A18">
        <w:rPr>
          <w:noProof/>
          <w:sz w:val="24"/>
          <w:szCs w:val="24"/>
        </w:rPr>
        <w:t xml:space="preserve"> induced seawater acidification impacts sea urchin larval development I: elevated metabolic rates decrease scope for growth and induce developmental delay. </w:t>
      </w:r>
      <w:r w:rsidRPr="00264A18">
        <w:rPr>
          <w:i/>
          <w:iCs/>
          <w:noProof/>
          <w:sz w:val="24"/>
          <w:szCs w:val="24"/>
        </w:rPr>
        <w:t>Comparative biochemistry and physiology. Part A, Molecular &amp; integrative physiology</w:t>
      </w:r>
      <w:r w:rsidRPr="00264A18">
        <w:rPr>
          <w:noProof/>
          <w:sz w:val="24"/>
          <w:szCs w:val="24"/>
        </w:rPr>
        <w:t xml:space="preserve">, </w:t>
      </w:r>
      <w:r w:rsidRPr="00264A18">
        <w:rPr>
          <w:iCs/>
          <w:noProof/>
          <w:sz w:val="24"/>
          <w:szCs w:val="24"/>
        </w:rPr>
        <w:t>160</w:t>
      </w:r>
      <w:r w:rsidRPr="00264A18">
        <w:rPr>
          <w:noProof/>
          <w:sz w:val="24"/>
          <w:szCs w:val="24"/>
        </w:rPr>
        <w:t>(3), 331–40. doi:10.1016/j.cbpa.2011.06.022</w:t>
      </w:r>
    </w:p>
    <w:p w14:paraId="59229E68" w14:textId="77777777" w:rsidR="00264A18" w:rsidRPr="00264A18" w:rsidRDefault="00264A18" w:rsidP="00264A18">
      <w:pPr>
        <w:pStyle w:val="NormalWeb"/>
        <w:ind w:left="480" w:hanging="480"/>
        <w:rPr>
          <w:noProof/>
          <w:sz w:val="24"/>
          <w:szCs w:val="24"/>
        </w:rPr>
      </w:pPr>
      <w:r w:rsidRPr="00264A18">
        <w:rPr>
          <w:noProof/>
          <w:sz w:val="24"/>
          <w:szCs w:val="24"/>
        </w:rPr>
        <w:t xml:space="preserve">Talmage, S. C., and Gobler, C. J. (2011). Effects of elevated temperature and carbon dioxide on the growth and survival of larvae and juveniles of three species of northwest Atlantic bivalves. </w:t>
      </w:r>
      <w:r w:rsidRPr="00264A18">
        <w:rPr>
          <w:i/>
          <w:iCs/>
          <w:noProof/>
          <w:sz w:val="24"/>
          <w:szCs w:val="24"/>
        </w:rPr>
        <w:t>PloS one</w:t>
      </w:r>
      <w:r w:rsidRPr="00264A18">
        <w:rPr>
          <w:noProof/>
          <w:sz w:val="24"/>
          <w:szCs w:val="24"/>
        </w:rPr>
        <w:t xml:space="preserve">, </w:t>
      </w:r>
      <w:r w:rsidRPr="00264A18">
        <w:rPr>
          <w:iCs/>
          <w:noProof/>
          <w:sz w:val="24"/>
          <w:szCs w:val="24"/>
        </w:rPr>
        <w:t>6</w:t>
      </w:r>
      <w:r w:rsidRPr="00264A18">
        <w:rPr>
          <w:noProof/>
          <w:sz w:val="24"/>
          <w:szCs w:val="24"/>
        </w:rPr>
        <w:t>(10), e26941. doi:10.1371/journal.pone.0026941</w:t>
      </w:r>
    </w:p>
    <w:p w14:paraId="2023D22D" w14:textId="77777777" w:rsidR="00264A18" w:rsidRPr="00264A18" w:rsidRDefault="00264A18" w:rsidP="00264A18">
      <w:pPr>
        <w:pStyle w:val="NormalWeb"/>
        <w:ind w:left="480" w:hanging="480"/>
        <w:rPr>
          <w:noProof/>
          <w:sz w:val="24"/>
          <w:szCs w:val="24"/>
        </w:rPr>
      </w:pPr>
      <w:r w:rsidRPr="00264A18">
        <w:rPr>
          <w:noProof/>
          <w:sz w:val="24"/>
          <w:szCs w:val="24"/>
        </w:rPr>
        <w:t xml:space="preserve">Timmins-Schiffman, E., Nunn, B. L., Goodlett, D. R., and Roberts, S. B. (2013). Shotgun proteomics as a viable approach for biological discovery in the Pacific oyster. </w:t>
      </w:r>
      <w:r w:rsidRPr="00264A18">
        <w:rPr>
          <w:i/>
          <w:iCs/>
          <w:noProof/>
          <w:sz w:val="24"/>
          <w:szCs w:val="24"/>
        </w:rPr>
        <w:t>Conservation Physiology</w:t>
      </w:r>
      <w:r w:rsidRPr="00264A18">
        <w:rPr>
          <w:noProof/>
          <w:sz w:val="24"/>
          <w:szCs w:val="24"/>
        </w:rPr>
        <w:t xml:space="preserve">, </w:t>
      </w:r>
      <w:r w:rsidRPr="00264A18">
        <w:rPr>
          <w:iCs/>
          <w:noProof/>
          <w:sz w:val="24"/>
          <w:szCs w:val="24"/>
        </w:rPr>
        <w:t>1</w:t>
      </w:r>
      <w:r w:rsidRPr="00264A18">
        <w:rPr>
          <w:noProof/>
          <w:sz w:val="24"/>
          <w:szCs w:val="24"/>
        </w:rPr>
        <w:t>(1), cot009–cot009. doi:10.1093/conphys/cot009</w:t>
      </w:r>
    </w:p>
    <w:p w14:paraId="1942CC63" w14:textId="77777777" w:rsidR="00264A18" w:rsidRPr="00264A18" w:rsidRDefault="00264A18" w:rsidP="00264A18">
      <w:pPr>
        <w:pStyle w:val="NormalWeb"/>
        <w:ind w:left="480" w:hanging="480"/>
        <w:rPr>
          <w:noProof/>
          <w:sz w:val="24"/>
          <w:szCs w:val="24"/>
        </w:rPr>
      </w:pPr>
      <w:r w:rsidRPr="00264A18">
        <w:rPr>
          <w:noProof/>
          <w:sz w:val="24"/>
          <w:szCs w:val="24"/>
        </w:rPr>
        <w:t>Timmins-Schiffman, Emma, O’Donnell, M. J., Friedman, C. S., and Roberts, S. B. (2012). Elevated pCO</w:t>
      </w:r>
      <w:r w:rsidRPr="00264A18">
        <w:rPr>
          <w:noProof/>
          <w:sz w:val="24"/>
          <w:szCs w:val="24"/>
          <w:vertAlign w:val="subscript"/>
        </w:rPr>
        <w:t>2</w:t>
      </w:r>
      <w:r w:rsidRPr="00264A18">
        <w:rPr>
          <w:noProof/>
          <w:sz w:val="24"/>
          <w:szCs w:val="24"/>
        </w:rPr>
        <w:t xml:space="preserve"> causes developmental delay in early larval Pacific oysters, Crassostrea gigas. </w:t>
      </w:r>
      <w:r w:rsidRPr="00264A18">
        <w:rPr>
          <w:i/>
          <w:iCs/>
          <w:noProof/>
          <w:sz w:val="24"/>
          <w:szCs w:val="24"/>
        </w:rPr>
        <w:t>Marine Biology</w:t>
      </w:r>
      <w:r w:rsidRPr="00264A18">
        <w:rPr>
          <w:noProof/>
          <w:sz w:val="24"/>
          <w:szCs w:val="24"/>
        </w:rPr>
        <w:t xml:space="preserve">, </w:t>
      </w:r>
      <w:r w:rsidRPr="00264A18">
        <w:rPr>
          <w:iCs/>
          <w:noProof/>
          <w:sz w:val="24"/>
          <w:szCs w:val="24"/>
        </w:rPr>
        <w:t>160</w:t>
      </w:r>
      <w:r w:rsidRPr="00264A18">
        <w:rPr>
          <w:noProof/>
          <w:sz w:val="24"/>
          <w:szCs w:val="24"/>
        </w:rPr>
        <w:t>(8), 1973–1982. doi:10.1007/s00227-012-2055-x</w:t>
      </w:r>
    </w:p>
    <w:p w14:paraId="32A7A2BF" w14:textId="77777777" w:rsidR="00264A18" w:rsidRPr="00264A18" w:rsidRDefault="00264A18" w:rsidP="00264A18">
      <w:pPr>
        <w:pStyle w:val="NormalWeb"/>
        <w:ind w:left="480" w:hanging="480"/>
        <w:rPr>
          <w:noProof/>
          <w:sz w:val="24"/>
          <w:szCs w:val="24"/>
        </w:rPr>
      </w:pPr>
      <w:r w:rsidRPr="00264A18">
        <w:rPr>
          <w:noProof/>
          <w:sz w:val="24"/>
          <w:szCs w:val="24"/>
        </w:rPr>
        <w:t xml:space="preserve">Todgham, A. E., and Hofmann, G. E. (2009). Transcriptomic response of sea urchin larvae Strongylocentrotus purpuratus to CO2-driven seawater acidification. </w:t>
      </w:r>
      <w:r w:rsidRPr="00264A18">
        <w:rPr>
          <w:i/>
          <w:iCs/>
          <w:noProof/>
          <w:sz w:val="24"/>
          <w:szCs w:val="24"/>
        </w:rPr>
        <w:t>The Journal of experimental biology</w:t>
      </w:r>
      <w:r w:rsidRPr="00264A18">
        <w:rPr>
          <w:noProof/>
          <w:sz w:val="24"/>
          <w:szCs w:val="24"/>
        </w:rPr>
        <w:t xml:space="preserve">, </w:t>
      </w:r>
      <w:r w:rsidRPr="00264A18">
        <w:rPr>
          <w:iCs/>
          <w:noProof/>
          <w:sz w:val="24"/>
          <w:szCs w:val="24"/>
        </w:rPr>
        <w:t>212</w:t>
      </w:r>
      <w:r w:rsidRPr="00264A18">
        <w:rPr>
          <w:noProof/>
          <w:sz w:val="24"/>
          <w:szCs w:val="24"/>
        </w:rPr>
        <w:t>(16), 2579–94. doi:10.1242/jeb.032540</w:t>
      </w:r>
    </w:p>
    <w:p w14:paraId="641B3660" w14:textId="77777777" w:rsidR="00264A18" w:rsidRPr="00264A18" w:rsidRDefault="00264A18" w:rsidP="00264A18">
      <w:pPr>
        <w:pStyle w:val="NormalWeb"/>
        <w:ind w:left="480" w:hanging="480"/>
        <w:rPr>
          <w:noProof/>
          <w:sz w:val="24"/>
          <w:szCs w:val="24"/>
        </w:rPr>
      </w:pPr>
      <w:r w:rsidRPr="00264A18">
        <w:rPr>
          <w:noProof/>
          <w:sz w:val="24"/>
          <w:szCs w:val="24"/>
        </w:rPr>
        <w:t>Tomanek, L., Zuzow, M. J., Ivanina, A. V, Beniash, E., and Sokolova, I. M. (2011). Proteomic response to elevated PCO</w:t>
      </w:r>
      <w:r w:rsidRPr="00264A18">
        <w:rPr>
          <w:noProof/>
          <w:sz w:val="24"/>
          <w:szCs w:val="24"/>
          <w:vertAlign w:val="subscript"/>
        </w:rPr>
        <w:t>2</w:t>
      </w:r>
      <w:r w:rsidRPr="00264A18">
        <w:rPr>
          <w:noProof/>
          <w:sz w:val="24"/>
          <w:szCs w:val="24"/>
        </w:rPr>
        <w:t xml:space="preserve"> level in eastern oysters, Crassostrea virginica: evidence for oxidative stress. </w:t>
      </w:r>
      <w:r w:rsidRPr="00264A18">
        <w:rPr>
          <w:i/>
          <w:iCs/>
          <w:noProof/>
          <w:sz w:val="24"/>
          <w:szCs w:val="24"/>
        </w:rPr>
        <w:t>The Journal of experimental biology</w:t>
      </w:r>
      <w:r w:rsidRPr="00264A18">
        <w:rPr>
          <w:noProof/>
          <w:sz w:val="24"/>
          <w:szCs w:val="24"/>
        </w:rPr>
        <w:t xml:space="preserve">, </w:t>
      </w:r>
      <w:r w:rsidRPr="00264A18">
        <w:rPr>
          <w:iCs/>
          <w:noProof/>
          <w:sz w:val="24"/>
          <w:szCs w:val="24"/>
        </w:rPr>
        <w:t>214</w:t>
      </w:r>
      <w:r w:rsidRPr="00264A18">
        <w:rPr>
          <w:noProof/>
          <w:sz w:val="24"/>
          <w:szCs w:val="24"/>
        </w:rPr>
        <w:t>(11), 1836–44. doi:10.1242/jeb.055475</w:t>
      </w:r>
    </w:p>
    <w:p w14:paraId="0301FB89" w14:textId="77777777" w:rsidR="00264A18" w:rsidRPr="00264A18" w:rsidRDefault="00264A18" w:rsidP="00264A18">
      <w:pPr>
        <w:pStyle w:val="NormalWeb"/>
        <w:ind w:left="480" w:hanging="480"/>
        <w:rPr>
          <w:noProof/>
          <w:sz w:val="24"/>
          <w:szCs w:val="24"/>
        </w:rPr>
      </w:pPr>
      <w:r w:rsidRPr="00264A18">
        <w:rPr>
          <w:noProof/>
          <w:sz w:val="24"/>
          <w:szCs w:val="24"/>
        </w:rPr>
        <w:t xml:space="preserve">Trider, D. J., and Castell, J. D. (1980). Effect of dietary lipids on growth, tissue composition and metabolism of the oyster (Crassostrea virginica). </w:t>
      </w:r>
      <w:r w:rsidRPr="00264A18">
        <w:rPr>
          <w:i/>
          <w:iCs/>
          <w:noProof/>
          <w:sz w:val="24"/>
          <w:szCs w:val="24"/>
        </w:rPr>
        <w:t>The Journal of nutrition</w:t>
      </w:r>
      <w:r w:rsidRPr="00264A18">
        <w:rPr>
          <w:noProof/>
          <w:sz w:val="24"/>
          <w:szCs w:val="24"/>
        </w:rPr>
        <w:t xml:space="preserve">, </w:t>
      </w:r>
      <w:r w:rsidRPr="00264A18">
        <w:rPr>
          <w:iCs/>
          <w:noProof/>
          <w:sz w:val="24"/>
          <w:szCs w:val="24"/>
        </w:rPr>
        <w:t>110</w:t>
      </w:r>
      <w:r w:rsidRPr="00264A18">
        <w:rPr>
          <w:noProof/>
          <w:sz w:val="24"/>
          <w:szCs w:val="24"/>
        </w:rPr>
        <w:t>(7), 1303–9.</w:t>
      </w:r>
    </w:p>
    <w:p w14:paraId="7E1B7781" w14:textId="77777777" w:rsidR="00264A18" w:rsidRPr="00264A18" w:rsidRDefault="00264A18" w:rsidP="00264A18">
      <w:pPr>
        <w:pStyle w:val="NormalWeb"/>
        <w:ind w:left="480" w:hanging="480"/>
        <w:rPr>
          <w:noProof/>
          <w:sz w:val="24"/>
          <w:szCs w:val="24"/>
        </w:rPr>
      </w:pPr>
      <w:r w:rsidRPr="00264A18">
        <w:rPr>
          <w:noProof/>
          <w:sz w:val="24"/>
          <w:szCs w:val="24"/>
        </w:rPr>
        <w:t xml:space="preserve">Vijayan, M. M., and Moon, T. W. (1992). Acute Handling Stress Alters Hepatic Glycogen Metabolism in Food-Deprived Rainbow Trout (Oncorhynchus mykiss). </w:t>
      </w:r>
      <w:r w:rsidRPr="00264A18">
        <w:rPr>
          <w:i/>
          <w:iCs/>
          <w:noProof/>
          <w:sz w:val="24"/>
          <w:szCs w:val="24"/>
        </w:rPr>
        <w:t>Canadian Journal of Fisheries and Aquatic Sciences</w:t>
      </w:r>
      <w:r w:rsidRPr="00264A18">
        <w:rPr>
          <w:noProof/>
          <w:sz w:val="24"/>
          <w:szCs w:val="24"/>
        </w:rPr>
        <w:t xml:space="preserve">, </w:t>
      </w:r>
      <w:r w:rsidRPr="00264A18">
        <w:rPr>
          <w:iCs/>
          <w:noProof/>
          <w:sz w:val="24"/>
          <w:szCs w:val="24"/>
        </w:rPr>
        <w:t>49</w:t>
      </w:r>
      <w:r w:rsidRPr="00264A18">
        <w:rPr>
          <w:noProof/>
          <w:sz w:val="24"/>
          <w:szCs w:val="24"/>
        </w:rPr>
        <w:t>, 2260–2266.</w:t>
      </w:r>
    </w:p>
    <w:p w14:paraId="7EC48DAB" w14:textId="77777777" w:rsidR="00264A18" w:rsidRPr="00264A18" w:rsidRDefault="00264A18" w:rsidP="00264A18">
      <w:pPr>
        <w:pStyle w:val="NormalWeb"/>
        <w:ind w:left="480" w:hanging="480"/>
        <w:rPr>
          <w:noProof/>
          <w:sz w:val="24"/>
          <w:szCs w:val="24"/>
        </w:rPr>
      </w:pPr>
      <w:r w:rsidRPr="00264A18">
        <w:rPr>
          <w:noProof/>
          <w:sz w:val="24"/>
          <w:szCs w:val="24"/>
        </w:rPr>
        <w:t>Welladsen, H. M., Southgate, P. C.,  and Heimann, K. (2010). The effects of exposure to near-future levels of ocean acidification on shell characteristics of Pinctada fucata ( Bivalvia</w:t>
      </w:r>
      <w:r w:rsidRPr="00264A18">
        <w:rPr>
          <w:rFonts w:ascii="Times New Roman" w:hAnsi="Times New Roman"/>
          <w:noProof/>
          <w:sz w:val="24"/>
          <w:szCs w:val="24"/>
        </w:rPr>
        <w:t> </w:t>
      </w:r>
      <w:r w:rsidRPr="00264A18">
        <w:rPr>
          <w:noProof/>
          <w:sz w:val="24"/>
          <w:szCs w:val="24"/>
        </w:rPr>
        <w:t xml:space="preserve">: Pteriidae ). </w:t>
      </w:r>
      <w:r w:rsidRPr="00264A18">
        <w:rPr>
          <w:i/>
          <w:noProof/>
          <w:sz w:val="24"/>
          <w:szCs w:val="24"/>
        </w:rPr>
        <w:t>Molluscan Research</w:t>
      </w:r>
      <w:r w:rsidRPr="00264A18">
        <w:rPr>
          <w:noProof/>
          <w:sz w:val="24"/>
          <w:szCs w:val="24"/>
        </w:rPr>
        <w:t xml:space="preserve">, </w:t>
      </w:r>
      <w:r w:rsidRPr="00264A18">
        <w:rPr>
          <w:iCs/>
          <w:noProof/>
          <w:sz w:val="24"/>
          <w:szCs w:val="24"/>
        </w:rPr>
        <w:t>30</w:t>
      </w:r>
      <w:r w:rsidRPr="00264A18">
        <w:rPr>
          <w:noProof/>
          <w:sz w:val="24"/>
          <w:szCs w:val="24"/>
        </w:rPr>
        <w:t>(3), 125–130.</w:t>
      </w:r>
    </w:p>
    <w:p w14:paraId="557BC8FD" w14:textId="77777777" w:rsidR="00264A18" w:rsidRPr="00264A18" w:rsidRDefault="00264A18" w:rsidP="00264A18">
      <w:pPr>
        <w:pStyle w:val="NormalWeb"/>
        <w:ind w:left="480" w:hanging="480"/>
        <w:rPr>
          <w:noProof/>
          <w:sz w:val="24"/>
          <w:szCs w:val="24"/>
        </w:rPr>
      </w:pPr>
      <w:r w:rsidRPr="00264A18">
        <w:rPr>
          <w:noProof/>
          <w:sz w:val="24"/>
          <w:szCs w:val="24"/>
        </w:rPr>
        <w:t xml:space="preserve">Wong, K. K. W., Lane, A. C., Leung, P. T. Y., and Thiyagarajan, V. (2011). Response of larval barnacle proteome to CO(2)-driven seawater acidification. </w:t>
      </w:r>
      <w:r w:rsidRPr="00264A18">
        <w:rPr>
          <w:i/>
          <w:iCs/>
          <w:noProof/>
          <w:sz w:val="24"/>
          <w:szCs w:val="24"/>
        </w:rPr>
        <w:t>Comparative biochemistry and physiology. Part D, Genomics &amp; proteomics</w:t>
      </w:r>
      <w:r w:rsidRPr="00264A18">
        <w:rPr>
          <w:noProof/>
          <w:sz w:val="24"/>
          <w:szCs w:val="24"/>
        </w:rPr>
        <w:t xml:space="preserve">, </w:t>
      </w:r>
      <w:r w:rsidRPr="00264A18">
        <w:rPr>
          <w:iCs/>
          <w:noProof/>
          <w:sz w:val="24"/>
          <w:szCs w:val="24"/>
        </w:rPr>
        <w:t>6</w:t>
      </w:r>
      <w:r w:rsidRPr="00264A18">
        <w:rPr>
          <w:noProof/>
          <w:sz w:val="24"/>
          <w:szCs w:val="24"/>
        </w:rPr>
        <w:t>(3), 310–21. doi:10.1016/j.cbd.2011.07.001</w:t>
      </w:r>
    </w:p>
    <w:p w14:paraId="76E1E53F" w14:textId="08DA7319" w:rsidR="00071B1D" w:rsidRPr="00264A18" w:rsidRDefault="00264A18" w:rsidP="00264A18">
      <w:pPr>
        <w:pStyle w:val="NormalWeb"/>
        <w:ind w:left="540" w:hanging="540"/>
        <w:rPr>
          <w:noProof/>
          <w:sz w:val="24"/>
          <w:szCs w:val="24"/>
        </w:rPr>
      </w:pPr>
      <w:r w:rsidRPr="00264A18">
        <w:rPr>
          <w:noProof/>
          <w:sz w:val="24"/>
          <w:szCs w:val="24"/>
        </w:rPr>
        <w:t xml:space="preserve">Yamada, T., Letunic, I., Okuda, S., Kanehisa, M., and Bork, P. (2011). iPath2.0: interactive pathway explorer. </w:t>
      </w:r>
      <w:r w:rsidRPr="00264A18">
        <w:rPr>
          <w:i/>
          <w:iCs/>
          <w:noProof/>
          <w:sz w:val="24"/>
          <w:szCs w:val="24"/>
        </w:rPr>
        <w:t>Nucleic acids research</w:t>
      </w:r>
      <w:r w:rsidRPr="00264A18">
        <w:rPr>
          <w:noProof/>
          <w:sz w:val="24"/>
          <w:szCs w:val="24"/>
        </w:rPr>
        <w:t xml:space="preserve">, </w:t>
      </w:r>
      <w:r w:rsidRPr="00264A18">
        <w:rPr>
          <w:iCs/>
          <w:noProof/>
          <w:sz w:val="24"/>
          <w:szCs w:val="24"/>
        </w:rPr>
        <w:t>39</w:t>
      </w:r>
      <w:r w:rsidRPr="00264A18">
        <w:rPr>
          <w:noProof/>
          <w:sz w:val="24"/>
          <w:szCs w:val="24"/>
        </w:rPr>
        <w:t>(Web Server issue), W412–5. doi:10.1093/nar/gkr313</w:t>
      </w:r>
    </w:p>
    <w:p w14:paraId="099B66E2" w14:textId="77777777" w:rsidR="00C85C10" w:rsidRDefault="00C85C10" w:rsidP="00C85C10"/>
    <w:p w14:paraId="3F7E29C0" w14:textId="77777777" w:rsidR="00264A18" w:rsidRDefault="00264A18" w:rsidP="00590C70">
      <w:pPr>
        <w:pStyle w:val="Heading1"/>
      </w:pPr>
    </w:p>
    <w:p w14:paraId="66146FE8" w14:textId="77777777" w:rsidR="00264A18" w:rsidRDefault="00264A18" w:rsidP="00590C70">
      <w:pPr>
        <w:pStyle w:val="Heading1"/>
      </w:pPr>
    </w:p>
    <w:p w14:paraId="39160A39" w14:textId="77777777" w:rsidR="00264A18" w:rsidRDefault="00264A18" w:rsidP="00590C70">
      <w:pPr>
        <w:pStyle w:val="Heading1"/>
      </w:pPr>
    </w:p>
    <w:p w14:paraId="1D92F89D" w14:textId="77777777" w:rsidR="00264A18" w:rsidRDefault="00264A18" w:rsidP="00590C70">
      <w:pPr>
        <w:pStyle w:val="Heading1"/>
      </w:pPr>
    </w:p>
    <w:p w14:paraId="2A585296" w14:textId="77777777" w:rsidR="00264A18" w:rsidRDefault="00264A18" w:rsidP="00590C70">
      <w:pPr>
        <w:pStyle w:val="Heading1"/>
      </w:pPr>
    </w:p>
    <w:p w14:paraId="19651D23" w14:textId="77777777" w:rsidR="00264A18" w:rsidRDefault="00264A18" w:rsidP="00590C70">
      <w:pPr>
        <w:pStyle w:val="Heading1"/>
      </w:pPr>
    </w:p>
    <w:p w14:paraId="571B769E" w14:textId="77777777" w:rsidR="00264A18" w:rsidRDefault="00264A18" w:rsidP="00590C70">
      <w:pPr>
        <w:pStyle w:val="Heading1"/>
      </w:pPr>
    </w:p>
    <w:p w14:paraId="53A2805C" w14:textId="77777777" w:rsidR="00264A18" w:rsidRDefault="00264A18" w:rsidP="00590C70">
      <w:pPr>
        <w:pStyle w:val="Heading1"/>
      </w:pPr>
    </w:p>
    <w:p w14:paraId="1C233805" w14:textId="77777777" w:rsidR="00264A18" w:rsidRDefault="00264A18" w:rsidP="00590C70">
      <w:pPr>
        <w:pStyle w:val="Heading1"/>
      </w:pPr>
    </w:p>
    <w:p w14:paraId="0E28CF31" w14:textId="77777777" w:rsidR="00264A18" w:rsidRDefault="00264A18" w:rsidP="00264A18"/>
    <w:p w14:paraId="1F4F964B" w14:textId="77777777" w:rsidR="00590C70" w:rsidRDefault="00590C70" w:rsidP="00264A18">
      <w:pPr>
        <w:pStyle w:val="Heading1"/>
      </w:pPr>
      <w:bookmarkStart w:id="80" w:name="_Toc252110032"/>
      <w:r>
        <w:t>Synthesis and Conclusion</w:t>
      </w:r>
      <w:bookmarkEnd w:id="80"/>
    </w:p>
    <w:p w14:paraId="4B457C82" w14:textId="77777777" w:rsidR="00590C70" w:rsidRPr="00FC15CF" w:rsidRDefault="00590C70" w:rsidP="00590C70"/>
    <w:p w14:paraId="43C66915" w14:textId="77777777" w:rsidR="00590C70" w:rsidRDefault="00590C70" w:rsidP="00590C70">
      <w:pPr>
        <w:spacing w:line="360" w:lineRule="auto"/>
      </w:pPr>
      <w:r>
        <w:tab/>
        <w:t xml:space="preserve">The overall impacts of ocean acidification on marine bivalves are negative, leading to inhibited larval development and significant changes to molecular and phenotypic physiological responses across life stages.  However, many invertebrates also demonstrate extensive phenotypic plasticity in the face of ocean acidification, which may pave the way to adaptation to this environmental change.  Growth, development, and shell deposition continue at elevated </w:t>
      </w:r>
      <w:r w:rsidRPr="009B254F">
        <w:rPr>
          <w:i/>
        </w:rPr>
        <w:t>p</w:t>
      </w:r>
      <w:r>
        <w:t>CO</w:t>
      </w:r>
      <w:r w:rsidRPr="009B254F">
        <w:rPr>
          <w:vertAlign w:val="subscript"/>
        </w:rPr>
        <w:t>2</w:t>
      </w:r>
      <w:r>
        <w:rPr>
          <w:vertAlign w:val="subscript"/>
        </w:rPr>
        <w:t xml:space="preserve"> </w:t>
      </w:r>
      <w:r>
        <w:t xml:space="preserve">(usually at reduced rates), indicating a certain degree of tolerance in bivalves (Gaylord et al. 2011; Barros et al. 2013; Thomsen and Melzner 2010; Melzner et al. 2011; Dickinson et al. 2013). </w:t>
      </w:r>
      <w:r>
        <w:rPr>
          <w:rFonts w:ascii="Times" w:eastAsia="Times New Roman" w:hAnsi="Times" w:cs="Arial"/>
          <w:iCs/>
          <w:color w:val="000000"/>
          <w:lang w:eastAsia="en-US"/>
        </w:rPr>
        <w:t xml:space="preserve"> </w:t>
      </w:r>
      <w:r w:rsidRPr="008D6E3F">
        <w:t>This phenomenon may be due to the ecological and evolutionary history of many of these organisms.</w:t>
      </w:r>
      <w:r>
        <w:t xml:space="preserve">  Variability in responses to ocean acidification, which can signify tolerance in certain individuals, has been observed between species (Parker et al. 2010, 2012; Miller et al. 2009), habitats (Kelly et al. 2013), family groups (Yu et al. 2011), and offspring of broodstock exposed to different </w:t>
      </w:r>
      <w:r w:rsidRPr="009B254F">
        <w:rPr>
          <w:i/>
        </w:rPr>
        <w:t>p</w:t>
      </w:r>
      <w:r>
        <w:t>CO</w:t>
      </w:r>
      <w:r w:rsidRPr="009B254F">
        <w:rPr>
          <w:vertAlign w:val="subscript"/>
        </w:rPr>
        <w:t>2</w:t>
      </w:r>
      <w:r>
        <w:t xml:space="preserve"> regimes (Parker et al. 2012).  Most species studied in ocean acidification impact experiments are found in the nearshore environment, where they have been subjected to strong fluctuations in pH and other environmental parameters for generations.  Therefore, many of these species possess either the </w:t>
      </w:r>
      <w:r w:rsidRPr="008D6E3F">
        <w:t>plasticity or a rapid evolutionary capacity</w:t>
      </w:r>
      <w:r>
        <w:t xml:space="preserve"> (i.e. Pespeni et al. 2013) to adapt to this type of environmental change.</w:t>
      </w:r>
    </w:p>
    <w:p w14:paraId="2DBA2D03" w14:textId="0AF97322" w:rsidR="00590C70" w:rsidRDefault="00590C70" w:rsidP="00590C70">
      <w:pPr>
        <w:spacing w:line="360" w:lineRule="auto"/>
      </w:pPr>
      <w:r>
        <w:tab/>
        <w:t xml:space="preserve">The main physiological struggle for bivalves during ocean acidification stress may be one of limited energy resources.  The extended stress of low pH places an energetic toll on </w:t>
      </w:r>
      <w:proofErr w:type="gramStart"/>
      <w:r>
        <w:t>bivalves,</w:t>
      </w:r>
      <w:proofErr w:type="gramEnd"/>
      <w:r>
        <w:t xml:space="preserve"> perhaps as increased energy is needed to maintain CaCO</w:t>
      </w:r>
      <w:r w:rsidRPr="00934525">
        <w:rPr>
          <w:vertAlign w:val="subscript"/>
        </w:rPr>
        <w:t>3</w:t>
      </w:r>
      <w:r>
        <w:t xml:space="preserve"> saturation in the calcifying compartment or cellular gradients of H</w:t>
      </w:r>
      <w:r w:rsidRPr="00934525">
        <w:rPr>
          <w:vertAlign w:val="superscript"/>
        </w:rPr>
        <w:t>+</w:t>
      </w:r>
      <w:r>
        <w:t xml:space="preserve">.  The effects of this energetic toll are seen in larvae and juveniles/adults.  </w:t>
      </w:r>
      <w:r w:rsidRPr="00D638F2">
        <w:t>In larvae, the negative effects of ocean acidification are frequently observed at the transition from reliance on maternally derived energy reserves to exogenous energy resources</w:t>
      </w:r>
      <w:r>
        <w:t xml:space="preserve"> (Kurihara et al. 2007; Barton et al. 2012; Timmins-Schiffman et al. 2012).</w:t>
      </w:r>
      <w:r w:rsidR="00E90BBA">
        <w:t xml:space="preserve">  Larval sensitivity to elevated </w:t>
      </w:r>
      <w:r w:rsidR="00E90BBA" w:rsidRPr="00E90BBA">
        <w:rPr>
          <w:i/>
        </w:rPr>
        <w:t>p</w:t>
      </w:r>
      <w:r w:rsidR="00E90BBA">
        <w:t>CO</w:t>
      </w:r>
      <w:r w:rsidR="00E90BBA" w:rsidRPr="00E90BBA">
        <w:rPr>
          <w:vertAlign w:val="subscript"/>
        </w:rPr>
        <w:t>2</w:t>
      </w:r>
      <w:r w:rsidR="00E90BBA">
        <w:t xml:space="preserve"> cannot be fully ameliorated by the addition of increased food, as demonstrated in Olympia oyster larvae.  Increased food concentrations only slightly mitigated some growth parameters and had no effect on percent metamorphosis (Hettinger et al. 2013).</w:t>
      </w:r>
      <w:r>
        <w:t xml:space="preserve">  </w:t>
      </w:r>
      <w:r w:rsidR="00E90BBA">
        <w:t>The larvae were likely not able to overcome the negative effects of ocean acidification due to the heightened sensitivity of larval calcification to changes in carbonate saturation state and the plethora of physiological changes that occur during the larval period.</w:t>
      </w:r>
    </w:p>
    <w:p w14:paraId="5A5D9285" w14:textId="3F2E2624" w:rsidR="00590C70" w:rsidRDefault="00590C70" w:rsidP="00590C70">
      <w:pPr>
        <w:spacing w:line="360" w:lineRule="auto"/>
      </w:pPr>
      <w:r>
        <w:tab/>
      </w:r>
      <w:r w:rsidR="00E90BBA">
        <w:t>In contrast</w:t>
      </w:r>
      <w:r>
        <w:t xml:space="preserve"> to larvae, </w:t>
      </w:r>
      <w:r w:rsidRPr="00463F94">
        <w:t xml:space="preserve">the negative effects of ocean acidification on adult bivalves can sometimes be mitigated by </w:t>
      </w:r>
      <w:r w:rsidR="001C08F9">
        <w:t>increased</w:t>
      </w:r>
      <w:r w:rsidRPr="00463F94">
        <w:t xml:space="preserve"> food supply.</w:t>
      </w:r>
      <w:r>
        <w:t xml:space="preserve">  In </w:t>
      </w:r>
      <w:r>
        <w:rPr>
          <w:i/>
        </w:rPr>
        <w:t>M. edulis</w:t>
      </w:r>
      <w:r>
        <w:t xml:space="preserve">, mussels fed a low concentration of food had significantly decreased shell mass and somatic growth and increased shell corrosion at elevated </w:t>
      </w:r>
      <w:r w:rsidRPr="009B254F">
        <w:rPr>
          <w:i/>
        </w:rPr>
        <w:t>p</w:t>
      </w:r>
      <w:r>
        <w:t>CO</w:t>
      </w:r>
      <w:r w:rsidRPr="009B254F">
        <w:rPr>
          <w:vertAlign w:val="subscript"/>
        </w:rPr>
        <w:t>2</w:t>
      </w:r>
      <w:r>
        <w:t xml:space="preserve"> compared to mussels on a high food concentration regime (Melzner et al. 2011).  Similar results were also observed for mussels in the field (Thomsen et al. 2013).  The scallop </w:t>
      </w:r>
      <w:r>
        <w:rPr>
          <w:i/>
        </w:rPr>
        <w:t xml:space="preserve">Pecten </w:t>
      </w:r>
      <w:proofErr w:type="gramStart"/>
      <w:r>
        <w:rPr>
          <w:i/>
        </w:rPr>
        <w:t>maximus</w:t>
      </w:r>
      <w:r>
        <w:t xml:space="preserve">  </w:t>
      </w:r>
      <w:r w:rsidR="001C08F9">
        <w:t>had</w:t>
      </w:r>
      <w:proofErr w:type="gramEnd"/>
      <w:r>
        <w:t xml:space="preserve"> a high tolerance for low pH in an experiment where food supply was high (Sanders et al. 2013).  This trend has also been documented in cup corals (Crook et al. 2013).  These results imply that many of these species possess the physiological mechanisms and plasticity to maintain normal physiological homeostasis during ocean acidification stress.  Exposure to low pH necessitates compensation across a variety of physiological processes, but this compensation is feasible with access to sufficient resources.  However, these species mostly live in environments where consistent access to abundant food is rare.  This situation may lead to selection for individuals that are more efficient in their use of the energy that they are able to opportunistically capture from their environment.</w:t>
      </w:r>
      <w:r>
        <w:tab/>
      </w:r>
    </w:p>
    <w:p w14:paraId="52CAEEA1" w14:textId="77777777" w:rsidR="00590C70" w:rsidRDefault="00590C70" w:rsidP="00590C70">
      <w:pPr>
        <w:spacing w:line="360" w:lineRule="auto"/>
      </w:pPr>
      <w:r>
        <w:tab/>
      </w:r>
      <w:r w:rsidRPr="00D638F2">
        <w:t>There is increasing evidence that invertebrate populations harbor genotypes/phenotypes that are resistant to the detrimental effects of ocean acidification</w:t>
      </w:r>
      <w:r>
        <w:t xml:space="preserve"> (Yu et al. 2011; Pespeni et al. 2013; Parker et al. 2012).  These more resistant species and individuals within species may be the ones that maintain ecosystem function in a changing climate.  Broadcast spawners may be especially adapted to thrive in a rapidly changing environment since many broodstock contribute to each spawning event, thus increasing the chances that a well-adapted phenotype will arise.  However, since many individuals will not thrive under ocean acidification conditions there is a risk of </w:t>
      </w:r>
      <w:r w:rsidRPr="00463F94">
        <w:t>population bottlenecks that will reduce standing genetic diversity and make further adaptation untenable (e.g. Kelly et al. 2012)</w:t>
      </w:r>
      <w:r>
        <w:t>.</w:t>
      </w:r>
    </w:p>
    <w:p w14:paraId="4E31690F" w14:textId="77777777" w:rsidR="00590C70" w:rsidRDefault="00590C70" w:rsidP="00590C70">
      <w:pPr>
        <w:spacing w:line="360" w:lineRule="auto"/>
      </w:pPr>
    </w:p>
    <w:p w14:paraId="589844BB" w14:textId="77777777" w:rsidR="00590C70" w:rsidRDefault="00590C70" w:rsidP="00590C70">
      <w:pPr>
        <w:pStyle w:val="Heading2"/>
      </w:pPr>
      <w:bookmarkStart w:id="81" w:name="_Toc252110033"/>
      <w:r>
        <w:t>Works Cited</w:t>
      </w:r>
      <w:bookmarkEnd w:id="81"/>
    </w:p>
    <w:p w14:paraId="6491A36E" w14:textId="77777777" w:rsidR="00590C70" w:rsidRPr="00C21AC4" w:rsidRDefault="00590C70" w:rsidP="00590C70">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sidRPr="00C21AC4">
        <w:rPr>
          <w:rFonts w:ascii="Cambria" w:hAnsi="Cambria"/>
          <w:noProof/>
          <w:sz w:val="24"/>
        </w:rPr>
        <w:t xml:space="preserve">Barros, P., Sobral, P., Range, P., Chícharo, L., &amp; Matias, D. (2013). Effects of sea-water acidification on fertilization and larval development of the oyster Crassostrea gigas. </w:t>
      </w:r>
      <w:r w:rsidRPr="00C21AC4">
        <w:rPr>
          <w:rFonts w:ascii="Cambria" w:hAnsi="Cambria"/>
          <w:i/>
          <w:iCs/>
          <w:noProof/>
          <w:sz w:val="24"/>
        </w:rPr>
        <w:t>Journal of Experimental Marine Biology and Ecology</w:t>
      </w:r>
      <w:r w:rsidRPr="00C21AC4">
        <w:rPr>
          <w:rFonts w:ascii="Cambria" w:hAnsi="Cambria"/>
          <w:noProof/>
          <w:sz w:val="24"/>
        </w:rPr>
        <w:t xml:space="preserve">, </w:t>
      </w:r>
      <w:r w:rsidRPr="00C21AC4">
        <w:rPr>
          <w:rFonts w:ascii="Cambria" w:hAnsi="Cambria"/>
          <w:i/>
          <w:iCs/>
          <w:noProof/>
          <w:sz w:val="24"/>
        </w:rPr>
        <w:t>440</w:t>
      </w:r>
      <w:r w:rsidRPr="00C21AC4">
        <w:rPr>
          <w:rFonts w:ascii="Cambria" w:hAnsi="Cambria"/>
          <w:noProof/>
          <w:sz w:val="24"/>
        </w:rPr>
        <w:t>, 200–206. doi:10.1016/j.jembe.2012.12.014</w:t>
      </w:r>
    </w:p>
    <w:p w14:paraId="4237A993"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Barton, A., Hales, B., Waldbusser, G. G., Langdon, C., &amp; Feely, R. a. (2012). The Pacific oyster, Crassostrea gigas, shows negative correlation to naturally elevated carbon dioxide levels: Implications for near-term ocean acidification effects. </w:t>
      </w:r>
      <w:r w:rsidRPr="00C21AC4">
        <w:rPr>
          <w:rFonts w:ascii="Cambria" w:hAnsi="Cambria"/>
          <w:i/>
          <w:iCs/>
          <w:noProof/>
          <w:sz w:val="24"/>
        </w:rPr>
        <w:t>Limnology and Oceanography</w:t>
      </w:r>
      <w:r w:rsidRPr="00C21AC4">
        <w:rPr>
          <w:rFonts w:ascii="Cambria" w:hAnsi="Cambria"/>
          <w:noProof/>
          <w:sz w:val="24"/>
        </w:rPr>
        <w:t xml:space="preserve">, </w:t>
      </w:r>
      <w:r w:rsidRPr="00C21AC4">
        <w:rPr>
          <w:rFonts w:ascii="Cambria" w:hAnsi="Cambria"/>
          <w:i/>
          <w:iCs/>
          <w:noProof/>
          <w:sz w:val="24"/>
        </w:rPr>
        <w:t>57</w:t>
      </w:r>
      <w:r w:rsidRPr="00C21AC4">
        <w:rPr>
          <w:rFonts w:ascii="Cambria" w:hAnsi="Cambria"/>
          <w:noProof/>
          <w:sz w:val="24"/>
        </w:rPr>
        <w:t>(3), 698–710. doi:10.4319/lo.2012.57.3.0698</w:t>
      </w:r>
    </w:p>
    <w:p w14:paraId="6C71347B"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Crook, E. D., Cooper, H., Potts, D. C., Lambert, T., &amp; Paytan, a. (2013). Food availability and </w:t>
      </w:r>
      <w:r w:rsidRPr="00C21AC4">
        <w:rPr>
          <w:rFonts w:ascii="Cambria" w:hAnsi="Cambria"/>
          <w:i/>
          <w:iCs/>
          <w:noProof/>
          <w:sz w:val="24"/>
        </w:rPr>
        <w:t>p</w:t>
      </w:r>
      <w:r w:rsidRPr="00C21AC4">
        <w:rPr>
          <w:rFonts w:ascii="Cambria" w:hAnsi="Cambria"/>
          <w:noProof/>
          <w:sz w:val="24"/>
        </w:rPr>
        <w:t>CO</w:t>
      </w:r>
      <w:r w:rsidRPr="00C21AC4">
        <w:rPr>
          <w:rFonts w:ascii="Cambria" w:hAnsi="Cambria"/>
          <w:noProof/>
          <w:sz w:val="24"/>
          <w:vertAlign w:val="subscript"/>
        </w:rPr>
        <w:t>2</w:t>
      </w:r>
      <w:r w:rsidRPr="00C21AC4">
        <w:rPr>
          <w:rFonts w:ascii="Cambria" w:hAnsi="Cambria"/>
          <w:noProof/>
          <w:sz w:val="24"/>
        </w:rPr>
        <w:t xml:space="preserve"> impacts on planulation, juvenile survival, and calcification of the azooxanthellate scleractinian coral, </w:t>
      </w:r>
      <w:r w:rsidRPr="00C21AC4">
        <w:rPr>
          <w:rFonts w:ascii="Cambria" w:hAnsi="Cambria"/>
          <w:i/>
          <w:iCs/>
          <w:noProof/>
          <w:sz w:val="24"/>
        </w:rPr>
        <w:t>Balanophyllia elegans</w:t>
      </w:r>
      <w:r w:rsidRPr="00C21AC4">
        <w:rPr>
          <w:rFonts w:ascii="Cambria" w:hAnsi="Cambria"/>
          <w:noProof/>
          <w:sz w:val="24"/>
        </w:rPr>
        <w:t xml:space="preserve">. </w:t>
      </w:r>
      <w:r w:rsidRPr="00C21AC4">
        <w:rPr>
          <w:rFonts w:ascii="Cambria" w:hAnsi="Cambria"/>
          <w:i/>
          <w:iCs/>
          <w:noProof/>
          <w:sz w:val="24"/>
        </w:rPr>
        <w:t>Biogeosciences Discussions</w:t>
      </w:r>
      <w:r w:rsidRPr="00C21AC4">
        <w:rPr>
          <w:rFonts w:ascii="Cambria" w:hAnsi="Cambria"/>
          <w:noProof/>
          <w:sz w:val="24"/>
        </w:rPr>
        <w:t xml:space="preserve">, </w:t>
      </w:r>
      <w:r w:rsidRPr="00C21AC4">
        <w:rPr>
          <w:rFonts w:ascii="Cambria" w:hAnsi="Cambria"/>
          <w:i/>
          <w:iCs/>
          <w:noProof/>
          <w:sz w:val="24"/>
        </w:rPr>
        <w:t>10</w:t>
      </w:r>
      <w:r w:rsidRPr="00C21AC4">
        <w:rPr>
          <w:rFonts w:ascii="Cambria" w:hAnsi="Cambria"/>
          <w:noProof/>
          <w:sz w:val="24"/>
        </w:rPr>
        <w:t>(5), 7761–7783. doi:10.5194/bgd-10-7761-2013</w:t>
      </w:r>
    </w:p>
    <w:p w14:paraId="4DF748D8"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Dickinson, G. H., Matoo, O. B., Tourek, R. T., Sokolova, I. M., &amp; Beniash, E. (2013). Environmental salinity modulates the effects of elevated CO2 levels on juvenile hard-shell clams, Mercenaria mercenaria. </w:t>
      </w:r>
      <w:r w:rsidRPr="00C21AC4">
        <w:rPr>
          <w:rFonts w:ascii="Cambria" w:hAnsi="Cambria"/>
          <w:i/>
          <w:iCs/>
          <w:noProof/>
          <w:sz w:val="24"/>
        </w:rPr>
        <w:t>The Journal of experimental biology</w:t>
      </w:r>
      <w:r w:rsidRPr="00C21AC4">
        <w:rPr>
          <w:rFonts w:ascii="Cambria" w:hAnsi="Cambria"/>
          <w:noProof/>
          <w:sz w:val="24"/>
        </w:rPr>
        <w:t xml:space="preserve">, </w:t>
      </w:r>
      <w:r w:rsidRPr="00C21AC4">
        <w:rPr>
          <w:rFonts w:ascii="Cambria" w:hAnsi="Cambria"/>
          <w:i/>
          <w:iCs/>
          <w:noProof/>
          <w:sz w:val="24"/>
        </w:rPr>
        <w:t>216</w:t>
      </w:r>
      <w:r w:rsidRPr="00C21AC4">
        <w:rPr>
          <w:rFonts w:ascii="Cambria" w:hAnsi="Cambria"/>
          <w:noProof/>
          <w:sz w:val="24"/>
        </w:rPr>
        <w:t>(Pt 14), 2607–18. doi:10.1242/jeb.082909</w:t>
      </w:r>
    </w:p>
    <w:p w14:paraId="22B2718B" w14:textId="77777777" w:rsidR="00590C70" w:rsidRDefault="00590C70" w:rsidP="00590C70">
      <w:pPr>
        <w:pStyle w:val="NormalWeb"/>
        <w:ind w:left="480" w:hanging="480"/>
        <w:rPr>
          <w:rFonts w:ascii="Cambria" w:hAnsi="Cambria"/>
          <w:noProof/>
          <w:sz w:val="24"/>
        </w:rPr>
      </w:pPr>
      <w:r w:rsidRPr="00C21AC4">
        <w:rPr>
          <w:rFonts w:ascii="Cambria" w:hAnsi="Cambria"/>
          <w:noProof/>
          <w:sz w:val="24"/>
        </w:rPr>
        <w:t xml:space="preserve">Gaylord, B., Hill, T. M., Sanford, E., Lenz, E. a, Jacobs, L. a, Sato, K. N., … Hettinger, A. (2011). Functional impacts of ocean acidification in an ecologically critical foundation species. </w:t>
      </w:r>
      <w:r w:rsidRPr="00C21AC4">
        <w:rPr>
          <w:rFonts w:ascii="Cambria" w:hAnsi="Cambria"/>
          <w:i/>
          <w:iCs/>
          <w:noProof/>
          <w:sz w:val="24"/>
        </w:rPr>
        <w:t>The Journal of experimental biology</w:t>
      </w:r>
      <w:r w:rsidRPr="00C21AC4">
        <w:rPr>
          <w:rFonts w:ascii="Cambria" w:hAnsi="Cambria"/>
          <w:noProof/>
          <w:sz w:val="24"/>
        </w:rPr>
        <w:t xml:space="preserve">, </w:t>
      </w:r>
      <w:r w:rsidRPr="00C21AC4">
        <w:rPr>
          <w:rFonts w:ascii="Cambria" w:hAnsi="Cambria"/>
          <w:i/>
          <w:iCs/>
          <w:noProof/>
          <w:sz w:val="24"/>
        </w:rPr>
        <w:t>214</w:t>
      </w:r>
      <w:r w:rsidRPr="00C21AC4">
        <w:rPr>
          <w:rFonts w:ascii="Cambria" w:hAnsi="Cambria"/>
          <w:noProof/>
          <w:sz w:val="24"/>
        </w:rPr>
        <w:t>(Pt 15), 2586–94. doi:10.1242/jeb.055939</w:t>
      </w:r>
    </w:p>
    <w:p w14:paraId="29C646B4" w14:textId="72B586E6" w:rsidR="00E90BBA" w:rsidRPr="00E90BBA" w:rsidRDefault="00E90BBA" w:rsidP="00590C70">
      <w:pPr>
        <w:pStyle w:val="NormalWeb"/>
        <w:ind w:left="480" w:hanging="480"/>
        <w:rPr>
          <w:rFonts w:ascii="Cambria" w:hAnsi="Cambria"/>
          <w:noProof/>
          <w:sz w:val="24"/>
        </w:rPr>
      </w:pPr>
      <w:r>
        <w:rPr>
          <w:rFonts w:ascii="Cambria" w:hAnsi="Cambria"/>
          <w:noProof/>
          <w:sz w:val="24"/>
        </w:rPr>
        <w:t xml:space="preserve">Hettinger, A., Sanford, E., Hill, T.M., Hosfelt, J.D., Russell, A.D., and Gaylord, B. (2013) The influence of food supply on the response of Olympia oyster larvae to ocean acidification. </w:t>
      </w:r>
      <w:r>
        <w:rPr>
          <w:rFonts w:ascii="Cambria" w:hAnsi="Cambria"/>
          <w:i/>
          <w:noProof/>
          <w:sz w:val="24"/>
        </w:rPr>
        <w:t>Biogeosciences</w:t>
      </w:r>
      <w:r>
        <w:rPr>
          <w:rFonts w:ascii="Cambria" w:hAnsi="Cambria"/>
          <w:noProof/>
          <w:sz w:val="24"/>
        </w:rPr>
        <w:t xml:space="preserve">, </w:t>
      </w:r>
      <w:r>
        <w:rPr>
          <w:rFonts w:ascii="Cambria" w:hAnsi="Cambria"/>
          <w:i/>
          <w:noProof/>
          <w:sz w:val="24"/>
        </w:rPr>
        <w:t>10</w:t>
      </w:r>
      <w:r>
        <w:rPr>
          <w:rFonts w:ascii="Cambria" w:hAnsi="Cambria"/>
          <w:noProof/>
          <w:sz w:val="24"/>
        </w:rPr>
        <w:t>, 6629-6638.</w:t>
      </w:r>
    </w:p>
    <w:p w14:paraId="32BAAAA1"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Kelly, M. W., Padilla-Gamiño, J. L., &amp; Hofmann, G. E. (2013). Natural variation and the capacity to adapt to ocean acidification in the keystone sea urchin Strongylocentrotus purpuratus.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19</w:t>
      </w:r>
      <w:r w:rsidRPr="00C21AC4">
        <w:rPr>
          <w:rFonts w:ascii="Cambria" w:hAnsi="Cambria"/>
          <w:noProof/>
          <w:sz w:val="24"/>
        </w:rPr>
        <w:t>(8), 2536–46. doi:10.1111/gcb.12251</w:t>
      </w:r>
    </w:p>
    <w:p w14:paraId="3E30A0C1"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Kelly, M. W., Sanford, E., &amp; Grosberg, R. K. (2012). Limited potential for adaptation to climate change in a broadly distributed marine crustacean. </w:t>
      </w:r>
      <w:r w:rsidRPr="00C21AC4">
        <w:rPr>
          <w:rFonts w:ascii="Cambria" w:hAnsi="Cambria"/>
          <w:i/>
          <w:iCs/>
          <w:noProof/>
          <w:sz w:val="24"/>
        </w:rPr>
        <w:t>Proceedings. Biological sciences / The Royal Society</w:t>
      </w:r>
      <w:r w:rsidRPr="00C21AC4">
        <w:rPr>
          <w:rFonts w:ascii="Cambria" w:hAnsi="Cambria"/>
          <w:noProof/>
          <w:sz w:val="24"/>
        </w:rPr>
        <w:t xml:space="preserve">, </w:t>
      </w:r>
      <w:r w:rsidRPr="00C21AC4">
        <w:rPr>
          <w:rFonts w:ascii="Cambria" w:hAnsi="Cambria"/>
          <w:i/>
          <w:iCs/>
          <w:noProof/>
          <w:sz w:val="24"/>
        </w:rPr>
        <w:t>279</w:t>
      </w:r>
      <w:r w:rsidRPr="00C21AC4">
        <w:rPr>
          <w:rFonts w:ascii="Cambria" w:hAnsi="Cambria"/>
          <w:noProof/>
          <w:sz w:val="24"/>
        </w:rPr>
        <w:t>(1727), 349–56. doi:10.1098/rspb.2011.0542</w:t>
      </w:r>
    </w:p>
    <w:p w14:paraId="6A93E3C7"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Kurihara, H., Kato, S., &amp; Ishimatsu, a. (2007). Effects of increased seawater pCO2 on early development of the oyster Crassostrea gigas. </w:t>
      </w:r>
      <w:r w:rsidRPr="00C21AC4">
        <w:rPr>
          <w:rFonts w:ascii="Cambria" w:hAnsi="Cambria"/>
          <w:i/>
          <w:iCs/>
          <w:noProof/>
          <w:sz w:val="24"/>
        </w:rPr>
        <w:t>Aquatic Biology</w:t>
      </w:r>
      <w:r w:rsidRPr="00C21AC4">
        <w:rPr>
          <w:rFonts w:ascii="Cambria" w:hAnsi="Cambria"/>
          <w:noProof/>
          <w:sz w:val="24"/>
        </w:rPr>
        <w:t xml:space="preserve">, </w:t>
      </w:r>
      <w:r w:rsidRPr="00C21AC4">
        <w:rPr>
          <w:rFonts w:ascii="Cambria" w:hAnsi="Cambria"/>
          <w:i/>
          <w:iCs/>
          <w:noProof/>
          <w:sz w:val="24"/>
        </w:rPr>
        <w:t>1</w:t>
      </w:r>
      <w:r w:rsidRPr="00C21AC4">
        <w:rPr>
          <w:rFonts w:ascii="Cambria" w:hAnsi="Cambria"/>
          <w:noProof/>
          <w:sz w:val="24"/>
        </w:rPr>
        <w:t>(1), 91–98. doi:10.3354/ab00009</w:t>
      </w:r>
    </w:p>
    <w:p w14:paraId="46963710"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Melzner, F., Stange, P., Trübenbach, K., Thomsen, J., Casties, I., Panknin, U., … Gutowska, M. a. (2011). Food supply and seawater pCO2 impact calcification and internal shell dissolution in the blue mussel Mytilus edulis.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6</w:t>
      </w:r>
      <w:r w:rsidRPr="00C21AC4">
        <w:rPr>
          <w:rFonts w:ascii="Cambria" w:hAnsi="Cambria"/>
          <w:noProof/>
          <w:sz w:val="24"/>
        </w:rPr>
        <w:t>(9), e24223. doi:10.1371/journal.pone.0024223</w:t>
      </w:r>
    </w:p>
    <w:p w14:paraId="0BCB3EA0"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Miller, a W., Reynolds, A. C., Sobrino, C., &amp; Riedel, G. F. (2009). Shellfish face uncertain future in high CO2 world: influence of acidification on oyster larvae calcification and growth in estuaries.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4</w:t>
      </w:r>
      <w:r w:rsidRPr="00C21AC4">
        <w:rPr>
          <w:rFonts w:ascii="Cambria" w:hAnsi="Cambria"/>
          <w:noProof/>
          <w:sz w:val="24"/>
        </w:rPr>
        <w:t>(5), e5661. doi:10.1371/journal.pone.0005661</w:t>
      </w:r>
    </w:p>
    <w:p w14:paraId="0F2E437D"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Parker, L. M., Ross, P. M., &amp; O’Connor, W. a. (2010). Comparing the effect of elevated pCO2 and temperature on the fertilization and early development of two species of oysters.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157</w:t>
      </w:r>
      <w:r w:rsidRPr="00C21AC4">
        <w:rPr>
          <w:rFonts w:ascii="Cambria" w:hAnsi="Cambria"/>
          <w:noProof/>
          <w:sz w:val="24"/>
        </w:rPr>
        <w:t>(11), 2435–2452. doi:10.1007/s00227-010-1508-3</w:t>
      </w:r>
    </w:p>
    <w:p w14:paraId="7CDFD132"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Parker, L. M., Ross, P. M., O’Connor, W. a., Borysko, L., Raftos, D. a., &amp; Pörtner, H.-O. (2012). Adult exposure influences offspring response to ocean acidification in oysters.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18</w:t>
      </w:r>
      <w:r w:rsidRPr="00C21AC4">
        <w:rPr>
          <w:rFonts w:ascii="Cambria" w:hAnsi="Cambria"/>
          <w:noProof/>
          <w:sz w:val="24"/>
        </w:rPr>
        <w:t>(1), 82–92. doi:10.1111/j.1365-2486.2011.02520.x</w:t>
      </w:r>
    </w:p>
    <w:p w14:paraId="3169739C"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Pespeni, M. H., Sanford, E., Gaylord, B., Hill, T. M., Hosfelt, J. D., Jaris, H. K., … Palumbi, S. R. (2013). Evolutionary change during experimental ocean acidification. </w:t>
      </w:r>
      <w:r w:rsidRPr="00C21AC4">
        <w:rPr>
          <w:rFonts w:ascii="Cambria" w:hAnsi="Cambria"/>
          <w:i/>
          <w:iCs/>
          <w:noProof/>
          <w:sz w:val="24"/>
        </w:rPr>
        <w:t>Proceedings of the National Academy of Sciences of the United States of America</w:t>
      </w:r>
      <w:r w:rsidRPr="00C21AC4">
        <w:rPr>
          <w:rFonts w:ascii="Cambria" w:hAnsi="Cambria"/>
          <w:noProof/>
          <w:sz w:val="24"/>
        </w:rPr>
        <w:t xml:space="preserve">, </w:t>
      </w:r>
      <w:r w:rsidRPr="00C21AC4">
        <w:rPr>
          <w:rFonts w:ascii="Cambria" w:hAnsi="Cambria"/>
          <w:i/>
          <w:iCs/>
          <w:noProof/>
          <w:sz w:val="24"/>
        </w:rPr>
        <w:t>110</w:t>
      </w:r>
      <w:r w:rsidRPr="00C21AC4">
        <w:rPr>
          <w:rFonts w:ascii="Cambria" w:hAnsi="Cambria"/>
          <w:noProof/>
          <w:sz w:val="24"/>
        </w:rPr>
        <w:t>(17), 6937–42. doi:10.1073/pnas.1220673110</w:t>
      </w:r>
    </w:p>
    <w:p w14:paraId="3584F8AC"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Sanders, M. B., Bean, T. P., Hutchinson, T. H., &amp; Le Quesne, W. J. F. (2013). Juvenile king scallop, Pecten maximus, is potentially tolerant to low levels of ocean acidification when food is unrestricted.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8</w:t>
      </w:r>
      <w:r w:rsidRPr="00C21AC4">
        <w:rPr>
          <w:rFonts w:ascii="Cambria" w:hAnsi="Cambria"/>
          <w:noProof/>
          <w:sz w:val="24"/>
        </w:rPr>
        <w:t>(9), e74118. doi:10.1371/journal.pone.0074118</w:t>
      </w:r>
    </w:p>
    <w:p w14:paraId="49449F86"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Thomsen, J., Casties, I., Pansch, C., Körtzinger, A., &amp; Melzner, F. (2013). Food availability outweighs ocean acidification effects in juvenile Mytilus edulis: laboratory and field experiments.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19</w:t>
      </w:r>
      <w:r w:rsidRPr="00C21AC4">
        <w:rPr>
          <w:rFonts w:ascii="Cambria" w:hAnsi="Cambria"/>
          <w:noProof/>
          <w:sz w:val="24"/>
        </w:rPr>
        <w:t>(4), 1017–27. doi:10.1111/gcb.12109</w:t>
      </w:r>
    </w:p>
    <w:p w14:paraId="68A8A4A1"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Thomsen, J., &amp; Melzner, F. (2010). Moderate seawater acidification does not elicit long-term metabolic depression in the blue mussel Mytilus edulis.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157</w:t>
      </w:r>
      <w:r w:rsidRPr="00C21AC4">
        <w:rPr>
          <w:rFonts w:ascii="Cambria" w:hAnsi="Cambria"/>
          <w:noProof/>
          <w:sz w:val="24"/>
        </w:rPr>
        <w:t>(12), 2667–2676. doi:10.1007/s00227-010-1527-0</w:t>
      </w:r>
    </w:p>
    <w:p w14:paraId="28C0A33C"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Timmins-Schiffman, E., O’Donnell, M. J., Friedman, C. S., &amp; Roberts, S. B. (2012). Elevated pCO2 causes developmental delay in early larval Pacific oysters, Crassostrea gigas.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160</w:t>
      </w:r>
      <w:r w:rsidRPr="00C21AC4">
        <w:rPr>
          <w:rFonts w:ascii="Cambria" w:hAnsi="Cambria"/>
          <w:noProof/>
          <w:sz w:val="24"/>
        </w:rPr>
        <w:t>(8), 1973–1982. doi:10.1007/s00227-012-2055-x</w:t>
      </w:r>
    </w:p>
    <w:p w14:paraId="0142FA1C" w14:textId="77777777" w:rsidR="00590C70" w:rsidRPr="00C21AC4" w:rsidRDefault="00590C70" w:rsidP="00590C70">
      <w:pPr>
        <w:pStyle w:val="NormalWeb"/>
        <w:ind w:left="480" w:hanging="480"/>
        <w:rPr>
          <w:rFonts w:ascii="Cambria" w:hAnsi="Cambria"/>
          <w:noProof/>
          <w:sz w:val="24"/>
        </w:rPr>
      </w:pPr>
      <w:r w:rsidRPr="00C21AC4">
        <w:rPr>
          <w:rFonts w:ascii="Cambria" w:hAnsi="Cambria"/>
          <w:noProof/>
          <w:sz w:val="24"/>
        </w:rPr>
        <w:t xml:space="preserve">Yu, P. C., Matson, P. G., Martz, T. R., &amp; Hofmann, G. E. (2011). The ocean acidification seascape and its relationship to the performance of calcifying marine invertebrates: Laboratory experiments on the development of urchin larvae framed by environmentally-relevant pCO2/pH. </w:t>
      </w:r>
      <w:r w:rsidRPr="00C21AC4">
        <w:rPr>
          <w:rFonts w:ascii="Cambria" w:hAnsi="Cambria"/>
          <w:i/>
          <w:iCs/>
          <w:noProof/>
          <w:sz w:val="24"/>
        </w:rPr>
        <w:t>Journal of Experimental Marine Biology and Ecology</w:t>
      </w:r>
      <w:r w:rsidRPr="00C21AC4">
        <w:rPr>
          <w:rFonts w:ascii="Cambria" w:hAnsi="Cambria"/>
          <w:noProof/>
          <w:sz w:val="24"/>
        </w:rPr>
        <w:t xml:space="preserve">, </w:t>
      </w:r>
      <w:r w:rsidRPr="00C21AC4">
        <w:rPr>
          <w:rFonts w:ascii="Cambria" w:hAnsi="Cambria"/>
          <w:i/>
          <w:iCs/>
          <w:noProof/>
          <w:sz w:val="24"/>
        </w:rPr>
        <w:t>400</w:t>
      </w:r>
      <w:r w:rsidRPr="00C21AC4">
        <w:rPr>
          <w:rFonts w:ascii="Cambria" w:hAnsi="Cambria"/>
          <w:noProof/>
          <w:sz w:val="24"/>
        </w:rPr>
        <w:t>(1-2), 288–295. doi:10.1016/j.jembe.2011.02.016</w:t>
      </w:r>
    </w:p>
    <w:p w14:paraId="59A16293" w14:textId="0181B853" w:rsidR="00590C70" w:rsidRDefault="00590C70" w:rsidP="00590C70">
      <w:r>
        <w:fldChar w:fldCharType="end"/>
      </w:r>
    </w:p>
    <w:p w14:paraId="29C699E2" w14:textId="77777777" w:rsidR="00C85C10" w:rsidRDefault="00C85C10" w:rsidP="00C85C10"/>
    <w:p w14:paraId="430A4C44" w14:textId="77777777" w:rsidR="00C85C10" w:rsidRDefault="00C85C10" w:rsidP="00C85C10"/>
    <w:p w14:paraId="7D1CAC62" w14:textId="77777777" w:rsidR="00C85C10" w:rsidRDefault="00C85C10" w:rsidP="00C85C10"/>
    <w:p w14:paraId="500E2A14" w14:textId="77777777" w:rsidR="00C85C10" w:rsidRDefault="00C85C10" w:rsidP="00C85C10"/>
    <w:p w14:paraId="4A71327B" w14:textId="77777777" w:rsidR="00C85C10" w:rsidRDefault="00C85C10" w:rsidP="00C85C10"/>
    <w:p w14:paraId="73AA8421" w14:textId="77777777" w:rsidR="00C85C10" w:rsidRDefault="00C85C10" w:rsidP="00C85C10"/>
    <w:p w14:paraId="6F9BD1F5" w14:textId="77777777" w:rsidR="00C85C10" w:rsidRDefault="00C85C10" w:rsidP="00C85C10"/>
    <w:p w14:paraId="47D29A77" w14:textId="77777777" w:rsidR="00C85C10" w:rsidRDefault="00C85C10" w:rsidP="00C85C10"/>
    <w:p w14:paraId="757CA7CF" w14:textId="77777777" w:rsidR="00C85C10" w:rsidRDefault="00C85C10" w:rsidP="00C85C10"/>
    <w:p w14:paraId="4A3EB592" w14:textId="77777777" w:rsidR="00C85C10" w:rsidRDefault="00C85C10" w:rsidP="00C85C10"/>
    <w:p w14:paraId="62C8882A" w14:textId="77777777" w:rsidR="00C85C10" w:rsidRDefault="00C85C10" w:rsidP="00C85C10"/>
    <w:p w14:paraId="421CA333" w14:textId="77777777" w:rsidR="00C85C10" w:rsidRDefault="00C85C10" w:rsidP="00C85C10"/>
    <w:p w14:paraId="5FADC39A" w14:textId="77777777" w:rsidR="00C85C10" w:rsidRDefault="00C85C10" w:rsidP="00C85C10"/>
    <w:p w14:paraId="2835D040" w14:textId="77777777" w:rsidR="00C85C10" w:rsidRDefault="00C85C10" w:rsidP="00C85C10"/>
    <w:p w14:paraId="3382F0E8" w14:textId="77777777" w:rsidR="00C85C10" w:rsidRDefault="00C85C10" w:rsidP="00C85C10"/>
    <w:p w14:paraId="4160BCF6" w14:textId="77777777" w:rsidR="00C85C10" w:rsidRDefault="00C85C10" w:rsidP="00C85C10"/>
    <w:p w14:paraId="373E0A8D" w14:textId="77777777" w:rsidR="00C85C10" w:rsidRDefault="00C85C10" w:rsidP="00C85C10"/>
    <w:p w14:paraId="62278D40" w14:textId="77777777" w:rsidR="00C85C10" w:rsidRDefault="00C85C10" w:rsidP="00C85C10"/>
    <w:p w14:paraId="2262BBC6" w14:textId="77777777" w:rsidR="00C85C10" w:rsidRDefault="00C85C10" w:rsidP="00C85C10"/>
    <w:p w14:paraId="40CA6782" w14:textId="77777777" w:rsidR="00C85C10" w:rsidRDefault="00C85C10" w:rsidP="00C85C10"/>
    <w:p w14:paraId="2FF1B221" w14:textId="77777777" w:rsidR="00C85C10" w:rsidRDefault="00C85C10" w:rsidP="00C85C10"/>
    <w:p w14:paraId="664B75E6" w14:textId="77777777" w:rsidR="00C85C10" w:rsidRDefault="00C85C10" w:rsidP="00C85C10"/>
    <w:p w14:paraId="77F6F78E" w14:textId="77777777" w:rsidR="00C85C10" w:rsidRDefault="00C85C10" w:rsidP="00C85C10"/>
    <w:p w14:paraId="5883FE37" w14:textId="77777777" w:rsidR="00C85C10" w:rsidRDefault="00C85C10" w:rsidP="00C85C10"/>
    <w:p w14:paraId="5ABC7918" w14:textId="77777777" w:rsidR="00C85C10" w:rsidRDefault="00C85C10" w:rsidP="00C85C10"/>
    <w:p w14:paraId="0B7E63E4" w14:textId="77777777" w:rsidR="00C85C10" w:rsidRDefault="00C85C10" w:rsidP="00C85C10"/>
    <w:p w14:paraId="0ACAD0F6" w14:textId="77777777" w:rsidR="00C85C10" w:rsidRDefault="00C85C10" w:rsidP="00C85C10"/>
    <w:p w14:paraId="21BF2A83" w14:textId="77777777" w:rsidR="00C85C10" w:rsidRDefault="00C85C10" w:rsidP="00C85C10"/>
    <w:p w14:paraId="3DCE9F75" w14:textId="77777777" w:rsidR="00C85C10" w:rsidRDefault="00C85C10" w:rsidP="00C85C10"/>
    <w:p w14:paraId="3AC82A5D" w14:textId="77777777" w:rsidR="00C85C10" w:rsidRDefault="00C85C10" w:rsidP="00C85C10"/>
    <w:p w14:paraId="2C0E09FA" w14:textId="77777777" w:rsidR="00C85C10" w:rsidRDefault="00C85C10" w:rsidP="00C85C10"/>
    <w:p w14:paraId="31A18DA5" w14:textId="77777777" w:rsidR="00C85C10" w:rsidRDefault="00C85C10" w:rsidP="00C85C10"/>
    <w:p w14:paraId="1DC3B3E8" w14:textId="77777777" w:rsidR="00C85C10" w:rsidRDefault="00C85C10" w:rsidP="00C85C10"/>
    <w:p w14:paraId="77D99143" w14:textId="77777777" w:rsidR="00C85C10" w:rsidRDefault="00C85C10" w:rsidP="00C85C10"/>
    <w:p w14:paraId="70A6AA34" w14:textId="77777777" w:rsidR="00C85C10" w:rsidRDefault="00C85C10" w:rsidP="00C85C10"/>
    <w:p w14:paraId="44DC7843" w14:textId="77777777" w:rsidR="00C85C10" w:rsidRDefault="00C85C10" w:rsidP="00C85C10"/>
    <w:p w14:paraId="58FE876B" w14:textId="77777777" w:rsidR="00C85C10" w:rsidRDefault="00C85C10" w:rsidP="00C85C10"/>
    <w:p w14:paraId="45639B90" w14:textId="3406B57B" w:rsidR="00C02D9B" w:rsidRDefault="00295E93" w:rsidP="00C85C10">
      <w:pPr>
        <w:pStyle w:val="Heading1"/>
      </w:pPr>
      <w:bookmarkStart w:id="82" w:name="_Toc252110034"/>
      <w:r>
        <w:t>Appendix A</w:t>
      </w:r>
      <w:r w:rsidR="00C02D9B">
        <w:t>:  Exploration of enzymatic activity of Pacific oyster antioxidant proteins in response to ocean acidification</w:t>
      </w:r>
      <w:bookmarkEnd w:id="82"/>
    </w:p>
    <w:p w14:paraId="5F5FD5DF" w14:textId="77777777" w:rsidR="00A16689" w:rsidRDefault="00A16689" w:rsidP="00A16689"/>
    <w:p w14:paraId="7A9CBC1A" w14:textId="2C1AD2E2" w:rsidR="00A16689" w:rsidRPr="00A16689" w:rsidRDefault="00A16689" w:rsidP="00A16689">
      <w:r>
        <w:t>Work accomplished in collabo</w:t>
      </w:r>
      <w:r w:rsidR="001C08F9">
        <w:t>ration with Charlotte Corporeau</w:t>
      </w:r>
      <w:r>
        <w:t>, Catherine Seguineau, and Claudi</w:t>
      </w:r>
      <w:r w:rsidR="001010D9">
        <w:t>e</w:t>
      </w:r>
      <w:r>
        <w:t xml:space="preserve"> Quéré at the Institut </w:t>
      </w:r>
      <w:r>
        <w:rPr>
          <w:lang w:val="fr-FR"/>
        </w:rPr>
        <w:t>français de recherche pour l’exploitation de la mer</w:t>
      </w:r>
      <w:r>
        <w:t xml:space="preserve"> in Plouzané, France</w:t>
      </w:r>
    </w:p>
    <w:p w14:paraId="3EF3772A" w14:textId="77777777" w:rsidR="00C02D9B" w:rsidRDefault="00C02D9B" w:rsidP="00C02D9B">
      <w:pPr>
        <w:pStyle w:val="Heading2"/>
      </w:pPr>
      <w:bookmarkStart w:id="83" w:name="_Toc252110035"/>
      <w:r>
        <w:t>Introduction</w:t>
      </w:r>
      <w:bookmarkEnd w:id="83"/>
    </w:p>
    <w:p w14:paraId="6EB05A74" w14:textId="34BB7234" w:rsidR="00A16689" w:rsidRDefault="00A16689" w:rsidP="00A16689">
      <w:r>
        <w:tab/>
      </w:r>
    </w:p>
    <w:p w14:paraId="6D3C0479" w14:textId="0B112A32" w:rsidR="00C661F6" w:rsidRDefault="00A16689" w:rsidP="001010D9">
      <w:pPr>
        <w:spacing w:line="360" w:lineRule="auto"/>
      </w:pPr>
      <w:r>
        <w:tab/>
        <w:t xml:space="preserve">Oxidative stress has been implicated </w:t>
      </w:r>
      <w:r w:rsidR="00581C49">
        <w:t>as a consequence of environmental stress in</w:t>
      </w:r>
      <w:r>
        <w:t xml:space="preserve"> a</w:t>
      </w:r>
      <w:r w:rsidR="00581C49">
        <w:t>quatic organisms</w:t>
      </w:r>
      <w:r>
        <w:t xml:space="preserve">, but </w:t>
      </w:r>
      <w:r w:rsidR="00581C49">
        <w:t>how it occurs in</w:t>
      </w:r>
      <w:r>
        <w:t xml:space="preserve"> response to ocean acidification has yet to be fully characterized.  Previous studies into the effects of ocean acidification on invertebrates have uncovered evidence for the up-regulation of </w:t>
      </w:r>
      <w:r w:rsidR="001010D9">
        <w:t>the</w:t>
      </w:r>
      <w:r>
        <w:t xml:space="preserve"> antioxidant response (Matoo et al.</w:t>
      </w:r>
      <w:r w:rsidR="00C661F6">
        <w:t xml:space="preserve"> 2013; Tomanek et al. 2011; Kaniewska et al. 2012; Clark et al. 2013).  Oxidative stress arises from the over-production of reactive oxygen species (ROS), which are known to damage cells and can lead to apoptosis.  Levels of ROS are kept in check by antioxid</w:t>
      </w:r>
      <w:r w:rsidR="00581C49">
        <w:t>ant enzymes, such as glutathione</w:t>
      </w:r>
      <w:r w:rsidR="00C661F6">
        <w:t xml:space="preserve"> S-transferase (GST), superoxide dimutase (SOD), catalase, and others.   </w:t>
      </w:r>
      <w:r w:rsidR="001010D9">
        <w:t>Oyster b</w:t>
      </w:r>
      <w:r w:rsidR="00C661F6">
        <w:t>asal ROS production occurs</w:t>
      </w:r>
      <w:r w:rsidR="001010D9">
        <w:t xml:space="preserve"> in the mitochondria</w:t>
      </w:r>
      <w:r w:rsidR="00C661F6">
        <w:t xml:space="preserve"> during routine oxidative metabolism</w:t>
      </w:r>
      <w:r w:rsidR="001010D9">
        <w:t xml:space="preserve"> (Donaghy et al. 2012)</w:t>
      </w:r>
      <w:r w:rsidR="00C661F6">
        <w:t xml:space="preserve"> and marine invertebrates produce lower levels of ROS than vertebrates, but sedentary invertebrates are less able to regulate ROS levels (reviewed in Abele et al. 2007).   </w:t>
      </w:r>
      <w:r w:rsidR="001010D9">
        <w:t xml:space="preserve">During environmental stress, the amount of ROS produced and the antioxidant enzyme activity to neutralize ROS become unbalanced.  </w:t>
      </w:r>
      <w:r w:rsidR="00C661F6">
        <w:t>ROS may be produced as a direct result of the stressor or indirectly from elevated cellular metabolism in response to stress (Mohanty et al. 2000).</w:t>
      </w:r>
    </w:p>
    <w:p w14:paraId="5CA12D4E" w14:textId="35E27A18" w:rsidR="00C661F6" w:rsidRDefault="00C661F6" w:rsidP="001010D9">
      <w:pPr>
        <w:spacing w:line="360" w:lineRule="auto"/>
      </w:pPr>
      <w:r>
        <w:tab/>
      </w:r>
      <w:r w:rsidR="002F5FFC">
        <w:t>Glutathione S-transferase and superoxide dismutase are important components of the antioxidant response across taxonomic groups.  GST is known to have both antioxidant (Daniel 1993; Berhane et al. 1994; Nakamura et al. 2000; Leaver and George 1996</w:t>
      </w:r>
      <w:r w:rsidR="00EF7B60">
        <w:t>; Sharma et al. 2004</w:t>
      </w:r>
      <w:r w:rsidR="002F5FFC">
        <w:t>) and detoxification roles, however its exact function is not elucidated in most studies and its various isoforms likely accomplish both functions.</w:t>
      </w:r>
      <w:r w:rsidR="005C1814">
        <w:t xml:space="preserve">  SOD acts solely in an antioxidant role and is responsive in marine invertebrates to pathogens (Gonzelez et al. 2005; Gagnaire et al. 2007), hydrocarbons (Boutet et al. 2004a), heavy metal (Jo et al. 2008; Wu et al. 2011), and herbicides (Malécot et al. 2013).</w:t>
      </w:r>
    </w:p>
    <w:p w14:paraId="4A0DB1A6" w14:textId="6988C9DE" w:rsidR="005C1814" w:rsidRPr="005C1814" w:rsidRDefault="005C1814" w:rsidP="001010D9">
      <w:pPr>
        <w:spacing w:line="360" w:lineRule="auto"/>
      </w:pPr>
      <w:r>
        <w:tab/>
        <w:t xml:space="preserve">In this study, we investigated the activity of two antioxidant enzymes (GST and SOD) in the oyster, </w:t>
      </w:r>
      <w:r>
        <w:rPr>
          <w:i/>
        </w:rPr>
        <w:t>Crassostrea gigas</w:t>
      </w:r>
      <w:r>
        <w:t xml:space="preserve">, after exposure to elevated </w:t>
      </w:r>
      <w:r w:rsidRPr="005C1814">
        <w:rPr>
          <w:i/>
        </w:rPr>
        <w:t>p</w:t>
      </w:r>
      <w:r>
        <w:t>CO</w:t>
      </w:r>
      <w:r w:rsidRPr="005C1814">
        <w:rPr>
          <w:vertAlign w:val="subscript"/>
        </w:rPr>
        <w:t>2</w:t>
      </w:r>
      <w:r>
        <w:t xml:space="preserve"> (1000 and 2800 </w:t>
      </w:r>
      <w:r>
        <w:rPr>
          <w:rFonts w:ascii="Cambria" w:hAnsi="Cambria"/>
        </w:rPr>
        <w:t>μ</w:t>
      </w:r>
      <w:r>
        <w:t>atm).</w:t>
      </w:r>
    </w:p>
    <w:p w14:paraId="1D2F6019" w14:textId="77777777" w:rsidR="00C02D9B" w:rsidRDefault="00C02D9B" w:rsidP="00C02D9B">
      <w:pPr>
        <w:pStyle w:val="Heading2"/>
      </w:pPr>
      <w:bookmarkStart w:id="84" w:name="_Toc252110036"/>
      <w:r>
        <w:t>Methods</w:t>
      </w:r>
      <w:bookmarkEnd w:id="84"/>
    </w:p>
    <w:p w14:paraId="3FB534F2" w14:textId="77777777" w:rsidR="005C1814" w:rsidRPr="005C1814" w:rsidRDefault="005C1814" w:rsidP="005C1814"/>
    <w:p w14:paraId="6DD44480" w14:textId="77777777" w:rsidR="00F451C2" w:rsidRDefault="00F451C2" w:rsidP="00BC5F99">
      <w:pPr>
        <w:pStyle w:val="Heading3"/>
        <w:rPr>
          <w:lang w:eastAsia="en-US"/>
        </w:rPr>
      </w:pPr>
      <w:bookmarkStart w:id="85" w:name="_Toc252110037"/>
      <w:r w:rsidRPr="00F451C2">
        <w:rPr>
          <w:lang w:eastAsia="en-US"/>
        </w:rPr>
        <w:t>Carbonate Chemistry</w:t>
      </w:r>
      <w:bookmarkEnd w:id="85"/>
    </w:p>
    <w:p w14:paraId="34EC944A" w14:textId="77777777" w:rsidR="00BC5F99" w:rsidRPr="00BC5F99" w:rsidRDefault="00BC5F99" w:rsidP="00BC5F99"/>
    <w:p w14:paraId="0354E1E2"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 xml:space="preserve">This experiment was conducted at the Friday Harbor Labs Ocean Acidification Environmental Laboratory, Friday Harbor, Washington, </w:t>
      </w:r>
      <w:proofErr w:type="gramStart"/>
      <w:r w:rsidRPr="00F451C2">
        <w:rPr>
          <w:rFonts w:ascii="Times" w:hAnsi="Times" w:cs="Arial"/>
          <w:color w:val="000000"/>
          <w:lang w:eastAsia="en-US"/>
        </w:rPr>
        <w:t>USA</w:t>
      </w:r>
      <w:proofErr w:type="gramEnd"/>
      <w:r w:rsidRPr="00F451C2">
        <w:rPr>
          <w:rFonts w:ascii="Times" w:hAnsi="Times" w:cs="Arial"/>
          <w:color w:val="000000"/>
          <w:lang w:eastAsia="en-US"/>
        </w:rPr>
        <w:t xml:space="preserve"> where oysters were exposed to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values of 400 µatm, 1000 µatm, or 2800 µatm.  The system and control of water chemistry has been previously described in detail (O’Donnell et al., 2013; Timmins-Schiffman et al., 2013a). Briefly, incoming water was filtered (0.2 µm) and stripped of CO</w:t>
      </w:r>
      <w:r w:rsidRPr="00F451C2">
        <w:rPr>
          <w:rFonts w:ascii="Times" w:hAnsi="Times" w:cs="Arial"/>
          <w:color w:val="000000"/>
          <w:vertAlign w:val="subscript"/>
          <w:lang w:eastAsia="en-US"/>
        </w:rPr>
        <w:t>2</w:t>
      </w:r>
      <w:r w:rsidRPr="00F451C2">
        <w:rPr>
          <w:rFonts w:ascii="Times" w:hAnsi="Times" w:cs="Arial"/>
          <w:color w:val="000000"/>
          <w:lang w:eastAsia="en-US"/>
        </w:rPr>
        <w:t>. As the water flowed into the different treatment tanks, CO</w:t>
      </w:r>
      <w:r w:rsidRPr="00F451C2">
        <w:rPr>
          <w:rFonts w:ascii="Times" w:hAnsi="Times" w:cs="Arial"/>
          <w:color w:val="000000"/>
          <w:vertAlign w:val="subscript"/>
          <w:lang w:eastAsia="en-US"/>
        </w:rPr>
        <w:t>2</w:t>
      </w:r>
      <w:r w:rsidRPr="00F451C2">
        <w:rPr>
          <w:rFonts w:ascii="Times" w:hAnsi="Times" w:cs="Arial"/>
          <w:color w:val="000000"/>
          <w:lang w:eastAsia="en-US"/>
        </w:rPr>
        <w:t>-free air and CO</w:t>
      </w:r>
      <w:r w:rsidRPr="00F451C2">
        <w:rPr>
          <w:rFonts w:ascii="Times" w:hAnsi="Times" w:cs="Arial"/>
          <w:color w:val="000000"/>
          <w:vertAlign w:val="subscript"/>
          <w:lang w:eastAsia="en-US"/>
        </w:rPr>
        <w:t>2</w:t>
      </w:r>
      <w:r w:rsidRPr="00F451C2">
        <w:rPr>
          <w:rFonts w:ascii="Times" w:hAnsi="Times" w:cs="Arial"/>
          <w:color w:val="000000"/>
          <w:lang w:eastAsia="en-US"/>
        </w:rPr>
        <w:t xml:space="preserve"> were added back to reach set points that were continuously monitored by a DuraFET III pH probe (Honeywell, Morristown, NJ, USA).  From the treatment tanks, water flow into the eight replicate chambers for each of the three treatment levels was 57.5 mL/min.  For this experiment, set points were calculated for 13°C and estimated total alkalinity (A</w:t>
      </w:r>
      <w:r w:rsidRPr="00F451C2">
        <w:rPr>
          <w:rFonts w:ascii="Times" w:hAnsi="Times" w:cs="Arial"/>
          <w:color w:val="000000"/>
          <w:vertAlign w:val="subscript"/>
          <w:lang w:eastAsia="en-US"/>
        </w:rPr>
        <w:t>T</w:t>
      </w:r>
      <w:r w:rsidRPr="00F451C2">
        <w:rPr>
          <w:rFonts w:ascii="Times" w:hAnsi="Times" w:cs="Arial"/>
          <w:color w:val="000000"/>
          <w:lang w:eastAsia="en-US"/>
        </w:rPr>
        <w:t>) of 2100 µmol/kg for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values of 400 µatm (pH 8.03), 1000 µatm (pH 7.67), and 2800 µatm (pH 7.24).</w:t>
      </w:r>
    </w:p>
    <w:p w14:paraId="6A6A467C" w14:textId="264F6C01" w:rsidR="00F451C2" w:rsidRPr="00F451C2" w:rsidRDefault="00F451C2" w:rsidP="00F451C2">
      <w:pPr>
        <w:spacing w:line="360" w:lineRule="auto"/>
        <w:rPr>
          <w:rFonts w:ascii="Times" w:eastAsia="Times New Roman" w:hAnsi="Times" w:cs="Times New Roman"/>
          <w:lang w:eastAsia="en-US"/>
        </w:rPr>
      </w:pPr>
    </w:p>
    <w:p w14:paraId="0A1EE369" w14:textId="77777777" w:rsidR="00F451C2" w:rsidRPr="00F451C2" w:rsidRDefault="00F451C2" w:rsidP="00BC5F99">
      <w:pPr>
        <w:pStyle w:val="Heading3"/>
        <w:rPr>
          <w:rFonts w:cs="Times New Roman"/>
          <w:lang w:eastAsia="en-US"/>
        </w:rPr>
      </w:pPr>
      <w:bookmarkStart w:id="86" w:name="_Toc252110038"/>
      <w:r w:rsidRPr="00F451C2">
        <w:rPr>
          <w:lang w:eastAsia="en-US"/>
        </w:rPr>
        <w:t>Oysters</w:t>
      </w:r>
      <w:bookmarkEnd w:id="86"/>
    </w:p>
    <w:p w14:paraId="5E06EDE3"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w:t>
      </w:r>
    </w:p>
    <w:p w14:paraId="4AE106E3" w14:textId="0D8007E0"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ab/>
      </w:r>
      <w:r w:rsidRPr="00F451C2">
        <w:rPr>
          <w:rFonts w:ascii="Times" w:hAnsi="Times" w:cs="Arial"/>
          <w:color w:val="000000"/>
          <w:lang w:eastAsia="en-US"/>
        </w:rPr>
        <w:t>At t</w:t>
      </w:r>
      <w:r>
        <w:rPr>
          <w:rFonts w:ascii="Times" w:hAnsi="Times" w:cs="Arial"/>
          <w:color w:val="000000"/>
          <w:lang w:eastAsia="en-US"/>
        </w:rPr>
        <w:t xml:space="preserve">he end of 29 days, oysters </w:t>
      </w:r>
      <w:r w:rsidRPr="00F451C2">
        <w:rPr>
          <w:rFonts w:ascii="Times" w:hAnsi="Times" w:cs="Arial"/>
          <w:color w:val="000000"/>
          <w:lang w:eastAsia="en-US"/>
        </w:rPr>
        <w:t>were shucked and gill tissue was dissected and immediately flash frozen in liquid nitrogen.  Before protein extraction, tissues were ground to a powder in liquid nitrogen using a mortar and pestle.</w:t>
      </w:r>
    </w:p>
    <w:p w14:paraId="35D2221C" w14:textId="4FEF2A85" w:rsidR="00F451C2" w:rsidRPr="00F451C2" w:rsidRDefault="00F451C2" w:rsidP="00F451C2">
      <w:pPr>
        <w:spacing w:line="360" w:lineRule="auto"/>
        <w:rPr>
          <w:rFonts w:ascii="Times" w:eastAsia="Times New Roman" w:hAnsi="Times" w:cs="Times New Roman"/>
          <w:lang w:eastAsia="en-US"/>
        </w:rPr>
      </w:pPr>
    </w:p>
    <w:p w14:paraId="5973585F" w14:textId="77777777" w:rsidR="00F451C2" w:rsidRDefault="00F451C2" w:rsidP="00BC5F99">
      <w:pPr>
        <w:pStyle w:val="Heading3"/>
        <w:rPr>
          <w:lang w:eastAsia="en-US"/>
        </w:rPr>
      </w:pPr>
      <w:bookmarkStart w:id="87" w:name="_Toc252110039"/>
      <w:r w:rsidRPr="00F451C2">
        <w:rPr>
          <w:lang w:eastAsia="en-US"/>
        </w:rPr>
        <w:t>Glutathione S-transferase: protein extraction and enzymatic assay</w:t>
      </w:r>
      <w:bookmarkEnd w:id="87"/>
    </w:p>
    <w:p w14:paraId="730197B9" w14:textId="77777777" w:rsidR="00BC5F99" w:rsidRPr="00BC5F99" w:rsidRDefault="00BC5F99" w:rsidP="00BC5F99"/>
    <w:p w14:paraId="39122A4D" w14:textId="5CD16312"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For the glutathione S-transferase</w:t>
      </w:r>
      <w:r w:rsidR="00305757">
        <w:rPr>
          <w:rFonts w:ascii="Times" w:hAnsi="Times" w:cs="Arial"/>
          <w:color w:val="000000"/>
          <w:lang w:eastAsia="en-US"/>
        </w:rPr>
        <w:t xml:space="preserve"> (GST)</w:t>
      </w:r>
      <w:r w:rsidRPr="00F451C2">
        <w:rPr>
          <w:rFonts w:ascii="Times" w:hAnsi="Times" w:cs="Arial"/>
          <w:color w:val="000000"/>
          <w:lang w:eastAsia="en-US"/>
        </w:rPr>
        <w:t xml:space="preserve"> assay, </w:t>
      </w:r>
      <w:r w:rsidR="001C08F9">
        <w:rPr>
          <w:rFonts w:ascii="Times" w:hAnsi="Times" w:cs="Arial"/>
          <w:color w:val="000000"/>
          <w:lang w:eastAsia="en-US"/>
        </w:rPr>
        <w:t xml:space="preserve">protein from </w:t>
      </w:r>
      <w:r w:rsidRPr="00F451C2">
        <w:rPr>
          <w:rFonts w:ascii="Times" w:hAnsi="Times" w:cs="Arial"/>
          <w:color w:val="000000"/>
          <w:lang w:eastAsia="en-US"/>
        </w:rPr>
        <w:t>oysters gill tissue was extracted using Triton® X-100 (Bio Rad, Hercules, CA) extraction buffer for 4 oysters from the 400 µatm treatment, 4 from the 1000 µatm,</w:t>
      </w:r>
      <w:r>
        <w:rPr>
          <w:rFonts w:ascii="Times" w:hAnsi="Times" w:cs="Arial"/>
          <w:color w:val="000000"/>
          <w:lang w:eastAsia="en-US"/>
        </w:rPr>
        <w:t xml:space="preserve"> and 2 from 2800 µatm</w:t>
      </w:r>
      <w:r w:rsidRPr="00F451C2">
        <w:rPr>
          <w:rFonts w:ascii="Times" w:hAnsi="Times" w:cs="Arial"/>
          <w:color w:val="000000"/>
          <w:lang w:eastAsia="en-US"/>
        </w:rPr>
        <w:t>. Whole tissue samples (18.7-98.4 mg) were homogenized on ice using an Ultra turrax (Kinematica, Luzern, Switzerland) in 300 µl of Triton buffer (10 mM PBS, 1</w:t>
      </w:r>
      <w:r w:rsidR="001C08F9">
        <w:rPr>
          <w:rFonts w:ascii="Times" w:hAnsi="Times" w:cs="Arial"/>
          <w:color w:val="000000"/>
          <w:lang w:eastAsia="en-US"/>
        </w:rPr>
        <w:t xml:space="preserve"> mM EDTA, and 50 µl of Triton® </w:t>
      </w:r>
      <w:r w:rsidRPr="00F451C2">
        <w:rPr>
          <w:rFonts w:ascii="Times" w:hAnsi="Times" w:cs="Arial"/>
          <w:color w:val="000000"/>
          <w:lang w:eastAsia="en-US"/>
        </w:rPr>
        <w:t>X-100).  An additional 100 µl of the Triton buffer was used to rinse remaining tissue homogenate off of the Ultraturrax.  The Ultraturrax was rinsed in two separate baths of deionized water between samples.  The homogenate was incubated for 40 minutes at room temperature and then spun at 3000xg for 1 hour at 4°C.  The upper layer (excluding the pellet) was pipetted into a clean tube and then centrifuged again at 10,000xg for 45 minutes at 4°C.  The final supernatant (excluding the upper lipid layer) was transferred to a clean tube and stored at -80°C until analysis.  </w:t>
      </w:r>
    </w:p>
    <w:p w14:paraId="08ED9422" w14:textId="232CF385"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GST enzyme activity was measured using the Glutath</w:t>
      </w:r>
      <w:r w:rsidR="00BC5F99">
        <w:rPr>
          <w:rFonts w:ascii="Times" w:hAnsi="Times" w:cs="Arial"/>
          <w:color w:val="000000"/>
          <w:lang w:eastAsia="en-US"/>
        </w:rPr>
        <w:t>ione S-Transferase Assay Kit (Si</w:t>
      </w:r>
      <w:r w:rsidRPr="00F451C2">
        <w:rPr>
          <w:rFonts w:ascii="Times" w:hAnsi="Times" w:cs="Arial"/>
          <w:color w:val="000000"/>
          <w:lang w:eastAsia="en-US"/>
        </w:rPr>
        <w:t>gma, St Louis, Missouri, USA) following the manufacturer’s instructions for the 96-well plate.  Twenty microliters of undiluted protein extraction was used for the assay.  All samples were measured in triplicate.  The assay was read on a Synergy HT spectrophotometer at 340 nm (BioTek, Winooski, VT, USA) with Gen5 v. 2.03 software (BioTek Instruments Inc.) with readings every 50 seconds over a 20 minute period.</w:t>
      </w:r>
    </w:p>
    <w:p w14:paraId="1D588CC2" w14:textId="253F0716" w:rsidR="00F451C2" w:rsidRPr="00F451C2" w:rsidRDefault="00F451C2" w:rsidP="00F451C2">
      <w:pPr>
        <w:spacing w:line="360" w:lineRule="auto"/>
        <w:rPr>
          <w:rFonts w:ascii="Times" w:eastAsia="Times New Roman" w:hAnsi="Times" w:cs="Times New Roman"/>
          <w:lang w:eastAsia="en-US"/>
        </w:rPr>
      </w:pPr>
    </w:p>
    <w:p w14:paraId="691CAEFD" w14:textId="77777777" w:rsidR="00F451C2" w:rsidRDefault="00F451C2" w:rsidP="00BC5F99">
      <w:pPr>
        <w:pStyle w:val="Heading3"/>
        <w:rPr>
          <w:lang w:eastAsia="en-US"/>
        </w:rPr>
      </w:pPr>
      <w:bookmarkStart w:id="88" w:name="_Toc252110040"/>
      <w:r w:rsidRPr="00F451C2">
        <w:rPr>
          <w:lang w:eastAsia="en-US"/>
        </w:rPr>
        <w:t>Superoxide dismutase: protein extraction and enzymatic assay</w:t>
      </w:r>
      <w:bookmarkEnd w:id="88"/>
    </w:p>
    <w:p w14:paraId="0E86EC9E" w14:textId="77777777" w:rsidR="00BC5F99" w:rsidRPr="00BC5F99" w:rsidRDefault="00BC5F99" w:rsidP="00BC5F99"/>
    <w:p w14:paraId="0C7208D0" w14:textId="7AA15221"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Protein extractions were executed similarly to the GST assay for superoxide dismutase </w:t>
      </w:r>
      <w:r w:rsidR="00305757">
        <w:rPr>
          <w:rFonts w:ascii="Times" w:hAnsi="Times" w:cs="Arial"/>
          <w:color w:val="000000"/>
          <w:lang w:eastAsia="en-US"/>
        </w:rPr>
        <w:t xml:space="preserve">(SOD) </w:t>
      </w:r>
      <w:r w:rsidRPr="00F451C2">
        <w:rPr>
          <w:rFonts w:ascii="Times" w:hAnsi="Times" w:cs="Arial"/>
          <w:color w:val="000000"/>
          <w:lang w:eastAsia="en-US"/>
        </w:rPr>
        <w:t>activity except a house-made lysis buffer was used instead of Triton buffer.  </w:t>
      </w:r>
      <w:r w:rsidR="00305757">
        <w:rPr>
          <w:rFonts w:ascii="Times" w:hAnsi="Times" w:cs="Arial"/>
          <w:color w:val="000000"/>
          <w:lang w:eastAsia="en-US"/>
        </w:rPr>
        <w:t>Total p</w:t>
      </w:r>
      <w:r w:rsidRPr="00F451C2">
        <w:rPr>
          <w:rFonts w:ascii="Times" w:hAnsi="Times" w:cs="Arial"/>
          <w:color w:val="000000"/>
          <w:lang w:eastAsia="en-US"/>
        </w:rPr>
        <w:t xml:space="preserve">rotein was extracted from gill tissue (23.3-96.8 mg) from 4 oysters from the </w:t>
      </w:r>
      <w:proofErr w:type="gramStart"/>
      <w:r w:rsidRPr="00F451C2">
        <w:rPr>
          <w:rFonts w:ascii="Times" w:hAnsi="Times" w:cs="Arial"/>
          <w:color w:val="000000"/>
          <w:lang w:eastAsia="en-US"/>
        </w:rPr>
        <w:t>400 µ</w:t>
      </w:r>
      <w:proofErr w:type="gramEnd"/>
      <w:r w:rsidRPr="00F451C2">
        <w:rPr>
          <w:rFonts w:ascii="Times" w:hAnsi="Times" w:cs="Arial"/>
          <w:color w:val="000000"/>
          <w:lang w:eastAsia="en-US"/>
        </w:rPr>
        <w:t>atm treatment, 4 from 100</w:t>
      </w:r>
      <w:r w:rsidR="00305757">
        <w:rPr>
          <w:rFonts w:ascii="Times" w:hAnsi="Times" w:cs="Arial"/>
          <w:color w:val="000000"/>
          <w:lang w:eastAsia="en-US"/>
        </w:rPr>
        <w:t>0 µatm, and 6 from 2800 µatm</w:t>
      </w:r>
      <w:r w:rsidRPr="00F451C2">
        <w:rPr>
          <w:rFonts w:ascii="Times" w:hAnsi="Times" w:cs="Arial"/>
          <w:color w:val="000000"/>
          <w:lang w:eastAsia="en-US"/>
        </w:rPr>
        <w:t xml:space="preserve">.  The </w:t>
      </w:r>
      <w:r w:rsidR="00305757">
        <w:rPr>
          <w:rFonts w:ascii="Times" w:hAnsi="Times" w:cs="Arial"/>
          <w:color w:val="000000"/>
          <w:lang w:eastAsia="en-US"/>
        </w:rPr>
        <w:t>lysis buffer is described in Guévé</w:t>
      </w:r>
      <w:r w:rsidRPr="00F451C2">
        <w:rPr>
          <w:rFonts w:ascii="Times" w:hAnsi="Times" w:cs="Arial"/>
          <w:color w:val="000000"/>
          <w:lang w:eastAsia="en-US"/>
        </w:rPr>
        <w:t>lou et al. (2013) and the extraction method was carried out exactly as described above for the Triton buffer.  </w:t>
      </w:r>
    </w:p>
    <w:p w14:paraId="0DC8D26E" w14:textId="2A90375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The activity of </w:t>
      </w:r>
      <w:r w:rsidR="00305757">
        <w:rPr>
          <w:rFonts w:ascii="Times" w:hAnsi="Times" w:cs="Arial"/>
          <w:color w:val="000000"/>
          <w:lang w:eastAsia="en-US"/>
        </w:rPr>
        <w:t>SOD</w:t>
      </w:r>
      <w:r w:rsidRPr="00F451C2">
        <w:rPr>
          <w:rFonts w:ascii="Times" w:hAnsi="Times" w:cs="Arial"/>
          <w:color w:val="000000"/>
          <w:lang w:eastAsia="en-US"/>
        </w:rPr>
        <w:t xml:space="preserve"> was measured using </w:t>
      </w:r>
      <w:proofErr w:type="gramStart"/>
      <w:r w:rsidRPr="00F451C2">
        <w:rPr>
          <w:rFonts w:ascii="Times" w:hAnsi="Times" w:cs="Arial"/>
          <w:color w:val="000000"/>
          <w:lang w:eastAsia="en-US"/>
        </w:rPr>
        <w:t>the 19160 SOD determination kit</w:t>
      </w:r>
      <w:proofErr w:type="gramEnd"/>
      <w:r w:rsidRPr="00F451C2">
        <w:rPr>
          <w:rFonts w:ascii="Times" w:hAnsi="Times" w:cs="Arial"/>
          <w:color w:val="000000"/>
          <w:lang w:eastAsia="en-US"/>
        </w:rPr>
        <w:t xml:space="preserve"> (Sigma) following the manufacturer’s instructions.  Samples were diluted 1:2 in the kit dilution buffer before use in the assay.  A standard curve was prepared using superoxide dismutase (SOD bovine Sigma Reference S7446) diluted to 20, 8, 4, 2, 1, and 0.5 U/mL.  All samples were run in triplicate.  The assay was read on a Synergy HT spectrophotometer at 450 nm (BioTek) with Gen5 v. 2.03 software (BioTek Instruments Inc.) over a </w:t>
      </w:r>
      <w:proofErr w:type="gramStart"/>
      <w:r w:rsidRPr="00F451C2">
        <w:rPr>
          <w:rFonts w:ascii="Times" w:hAnsi="Times" w:cs="Arial"/>
          <w:color w:val="000000"/>
          <w:lang w:eastAsia="en-US"/>
        </w:rPr>
        <w:t>20 minute</w:t>
      </w:r>
      <w:proofErr w:type="gramEnd"/>
      <w:r w:rsidRPr="00F451C2">
        <w:rPr>
          <w:rFonts w:ascii="Times" w:hAnsi="Times" w:cs="Arial"/>
          <w:color w:val="000000"/>
          <w:lang w:eastAsia="en-US"/>
        </w:rPr>
        <w:t xml:space="preserve"> period with readings every 1 min, 10 sec.  </w:t>
      </w:r>
      <w:proofErr w:type="gramStart"/>
      <w:r w:rsidRPr="00F451C2">
        <w:rPr>
          <w:rFonts w:ascii="Times" w:hAnsi="Times" w:cs="Arial"/>
          <w:color w:val="000000"/>
          <w:lang w:eastAsia="en-US"/>
        </w:rPr>
        <w:t>A single time point corresponding to the linear portion of the curve for each sample (at 15 minutes, 10 seconds) was chosen to calculate SOD activity.</w:t>
      </w:r>
      <w:proofErr w:type="gramEnd"/>
    </w:p>
    <w:p w14:paraId="6C3D88A5" w14:textId="7DFF9781" w:rsidR="00F451C2" w:rsidRPr="00F451C2" w:rsidRDefault="00F451C2" w:rsidP="00F451C2">
      <w:pPr>
        <w:spacing w:line="360" w:lineRule="auto"/>
        <w:rPr>
          <w:rFonts w:ascii="Times" w:eastAsia="Times New Roman" w:hAnsi="Times" w:cs="Times New Roman"/>
          <w:lang w:eastAsia="en-US"/>
        </w:rPr>
      </w:pPr>
    </w:p>
    <w:p w14:paraId="0FB0151C" w14:textId="77777777" w:rsidR="00F451C2" w:rsidRDefault="00F451C2" w:rsidP="00BC5F99">
      <w:pPr>
        <w:pStyle w:val="Heading3"/>
        <w:rPr>
          <w:lang w:eastAsia="en-US"/>
        </w:rPr>
      </w:pPr>
      <w:bookmarkStart w:id="89" w:name="_Toc252110041"/>
      <w:r w:rsidRPr="00F451C2">
        <w:rPr>
          <w:lang w:eastAsia="en-US"/>
        </w:rPr>
        <w:t>Protein Concentration</w:t>
      </w:r>
      <w:bookmarkEnd w:id="89"/>
    </w:p>
    <w:p w14:paraId="69301ED2" w14:textId="77777777" w:rsidR="00BC5F99" w:rsidRPr="00BC5F99" w:rsidRDefault="00BC5F99" w:rsidP="00BC5F99"/>
    <w:p w14:paraId="71268DB0" w14:textId="1492C10A"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For protein concentration, protein samples were diluted 1:10.  Protein concentration was determined using the Bio-Rad DC Protein Assay kit following manufacturer’s instructions, with a standard curve from 0-1500 µg/ml of BSA.  Each sample was r</w:t>
      </w:r>
      <w:r w:rsidR="00BC5F99">
        <w:rPr>
          <w:rFonts w:ascii="Times" w:hAnsi="Times" w:cs="Arial"/>
          <w:color w:val="000000"/>
          <w:lang w:eastAsia="en-US"/>
        </w:rPr>
        <w:t>un in triplicate and absorbance</w:t>
      </w:r>
      <w:r w:rsidRPr="00F451C2">
        <w:rPr>
          <w:rFonts w:ascii="Times" w:hAnsi="Times" w:cs="Arial"/>
          <w:color w:val="000000"/>
          <w:lang w:eastAsia="en-US"/>
        </w:rPr>
        <w:t xml:space="preserve"> </w:t>
      </w:r>
      <w:r w:rsidR="00BC5F99">
        <w:rPr>
          <w:rFonts w:ascii="Times" w:hAnsi="Times" w:cs="Arial"/>
          <w:color w:val="000000"/>
          <w:lang w:eastAsia="en-US"/>
        </w:rPr>
        <w:t>was</w:t>
      </w:r>
      <w:r w:rsidRPr="00F451C2">
        <w:rPr>
          <w:rFonts w:ascii="Times" w:hAnsi="Times" w:cs="Arial"/>
          <w:color w:val="000000"/>
          <w:lang w:eastAsia="en-US"/>
        </w:rPr>
        <w:t xml:space="preserve"> read at 750 nm on a Synergy HT spectrophotometer (BioTek) using KC4 </w:t>
      </w:r>
      <w:proofErr w:type="gramStart"/>
      <w:r w:rsidRPr="00F451C2">
        <w:rPr>
          <w:rFonts w:ascii="Times" w:hAnsi="Times" w:cs="Arial"/>
          <w:color w:val="000000"/>
          <w:lang w:eastAsia="en-US"/>
        </w:rPr>
        <w:t>v. 3 software</w:t>
      </w:r>
      <w:proofErr w:type="gramEnd"/>
      <w:r w:rsidRPr="00F451C2">
        <w:rPr>
          <w:rFonts w:ascii="Times" w:hAnsi="Times" w:cs="Arial"/>
          <w:color w:val="000000"/>
          <w:lang w:eastAsia="en-US"/>
        </w:rPr>
        <w:t xml:space="preserve"> (BioTek Instruments Inc.).  If the triplicates had a coefficient of variation greater than 20%, then the outlier was removed from the average of protein concentration.  </w:t>
      </w:r>
    </w:p>
    <w:p w14:paraId="27C6FAC8" w14:textId="0816D612" w:rsidR="00F451C2" w:rsidRPr="00F451C2" w:rsidRDefault="00F451C2" w:rsidP="00F451C2">
      <w:pPr>
        <w:spacing w:line="360" w:lineRule="auto"/>
        <w:rPr>
          <w:rFonts w:ascii="Times" w:eastAsia="Times New Roman" w:hAnsi="Times" w:cs="Times New Roman"/>
          <w:lang w:eastAsia="en-US"/>
        </w:rPr>
      </w:pPr>
    </w:p>
    <w:p w14:paraId="178F7FC9" w14:textId="77777777" w:rsidR="00F451C2" w:rsidRDefault="00F451C2" w:rsidP="00BC5F99">
      <w:pPr>
        <w:pStyle w:val="Heading3"/>
        <w:rPr>
          <w:lang w:eastAsia="en-US"/>
        </w:rPr>
      </w:pPr>
      <w:bookmarkStart w:id="90" w:name="_Toc252110042"/>
      <w:r w:rsidRPr="00F451C2">
        <w:rPr>
          <w:lang w:eastAsia="en-US"/>
        </w:rPr>
        <w:t>Statistical Analysis</w:t>
      </w:r>
      <w:bookmarkEnd w:id="90"/>
    </w:p>
    <w:p w14:paraId="5D0465D6" w14:textId="77777777" w:rsidR="00BC5F99" w:rsidRPr="00BC5F99" w:rsidRDefault="00BC5F99" w:rsidP="00BC5F99"/>
    <w:p w14:paraId="0508C92B" w14:textId="195F86F4"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All statistical analyses were </w:t>
      </w:r>
      <w:r w:rsidR="00BC5F99">
        <w:rPr>
          <w:rFonts w:ascii="Times" w:hAnsi="Times" w:cs="Arial"/>
          <w:color w:val="000000"/>
          <w:lang w:eastAsia="en-US"/>
        </w:rPr>
        <w:t>performed</w:t>
      </w:r>
      <w:r w:rsidRPr="00F451C2">
        <w:rPr>
          <w:rFonts w:ascii="Times" w:hAnsi="Times" w:cs="Arial"/>
          <w:color w:val="000000"/>
          <w:lang w:eastAsia="en-US"/>
        </w:rPr>
        <w:t xml:space="preserve"> in R (R Development Team 2013</w:t>
      </w:r>
      <w:r w:rsidR="00BC5F99">
        <w:rPr>
          <w:rFonts w:ascii="Times" w:hAnsi="Times" w:cs="Arial"/>
          <w:color w:val="000000"/>
          <w:lang w:eastAsia="en-US"/>
        </w:rPr>
        <w:t>)</w:t>
      </w:r>
      <w:r w:rsidR="00305757">
        <w:rPr>
          <w:rFonts w:ascii="Times" w:hAnsi="Times" w:cs="Times New Roman"/>
          <w:lang w:eastAsia="en-US"/>
        </w:rPr>
        <w:t xml:space="preserve">.  </w:t>
      </w:r>
      <w:r w:rsidRPr="00F451C2">
        <w:rPr>
          <w:rFonts w:ascii="Times" w:hAnsi="Times" w:cs="Arial"/>
          <w:color w:val="000000"/>
          <w:lang w:eastAsia="en-US"/>
        </w:rPr>
        <w:t>To calculate GST activity, the first 5 data points were excluded to ensure linearity of the kinetic curve.  The change in absorbance (</w:t>
      </w:r>
      <w:r w:rsidR="00305757">
        <w:rPr>
          <w:rFonts w:ascii="Times" w:hAnsi="Times" w:cs="Arial"/>
          <w:color w:val="000000"/>
          <w:lang w:eastAsia="en-US"/>
        </w:rPr>
        <w:t>Δ</w:t>
      </w:r>
      <w:r w:rsidRPr="00F451C2">
        <w:rPr>
          <w:rFonts w:ascii="Times" w:hAnsi="Times" w:cs="Arial"/>
          <w:color w:val="000000"/>
          <w:lang w:eastAsia="en-US"/>
        </w:rPr>
        <w:t xml:space="preserve">A) was calculated with the following: </w:t>
      </w:r>
    </w:p>
    <w:p w14:paraId="3D1A26CD" w14:textId="6F1F3339" w:rsidR="00F451C2" w:rsidRPr="00F451C2" w:rsidRDefault="00F451C2" w:rsidP="00F451C2">
      <w:pPr>
        <w:spacing w:line="360" w:lineRule="auto"/>
        <w:rPr>
          <w:rFonts w:ascii="Times" w:eastAsia="Times New Roman" w:hAnsi="Times" w:cs="Times New Roman"/>
          <w:lang w:eastAsia="en-US"/>
        </w:rPr>
      </w:pPr>
    </w:p>
    <w:p w14:paraId="2F4F5872" w14:textId="0439ACED" w:rsidR="00F451C2" w:rsidRPr="00F451C2" w:rsidRDefault="00305757" w:rsidP="00F451C2">
      <w:pPr>
        <w:spacing w:line="360" w:lineRule="auto"/>
        <w:rPr>
          <w:rFonts w:ascii="Times" w:hAnsi="Times" w:cs="Times New Roman"/>
          <w:lang w:eastAsia="en-US"/>
        </w:rPr>
      </w:pPr>
      <w:r>
        <w:rPr>
          <w:rFonts w:ascii="Times" w:hAnsi="Times" w:cs="Arial"/>
          <w:color w:val="000000"/>
          <w:lang w:eastAsia="en-US"/>
        </w:rPr>
        <w:t>Δ</w:t>
      </w:r>
      <w:r w:rsidR="00F451C2" w:rsidRPr="00F451C2">
        <w:rPr>
          <w:rFonts w:ascii="Times" w:hAnsi="Times" w:cs="Arial"/>
          <w:color w:val="000000"/>
          <w:lang w:eastAsia="en-US"/>
        </w:rPr>
        <w:t>A = (A</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-A</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  </w:t>
      </w:r>
    </w:p>
    <w:p w14:paraId="1200DC51" w14:textId="1AFD04E0" w:rsidR="00F451C2" w:rsidRPr="00F451C2" w:rsidRDefault="00F451C2" w:rsidP="00F451C2">
      <w:pPr>
        <w:spacing w:line="360" w:lineRule="auto"/>
        <w:rPr>
          <w:rFonts w:ascii="Times" w:eastAsia="Times New Roman" w:hAnsi="Times" w:cs="Times New Roman"/>
          <w:lang w:eastAsia="en-US"/>
        </w:rPr>
      </w:pPr>
    </w:p>
    <w:p w14:paraId="4610CD2B"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 xml:space="preserve">Where A = absorbance at 340 nm, T = time point, the subscript f = final and the subscript i = initial.  GST specific activity is then calculated by the equation: </w:t>
      </w:r>
    </w:p>
    <w:p w14:paraId="0D9BB7E0" w14:textId="77B0BFE4" w:rsidR="00F451C2" w:rsidRPr="00F451C2" w:rsidRDefault="00F451C2" w:rsidP="00F451C2">
      <w:pPr>
        <w:spacing w:line="360" w:lineRule="auto"/>
        <w:rPr>
          <w:rFonts w:ascii="Times" w:eastAsia="Times New Roman" w:hAnsi="Times" w:cs="Times New Roman"/>
          <w:lang w:eastAsia="en-US"/>
        </w:rPr>
      </w:pPr>
    </w:p>
    <w:p w14:paraId="29E9CA44" w14:textId="5A9C7C86"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w:t>
      </w:r>
      <w:r w:rsidR="00305757">
        <w:rPr>
          <w:rFonts w:ascii="Times" w:hAnsi="Times" w:cs="Arial"/>
          <w:color w:val="000000"/>
          <w:lang w:eastAsia="en-US"/>
        </w:rPr>
        <w:t>Δ</w:t>
      </w:r>
      <w:r w:rsidRPr="00F451C2">
        <w:rPr>
          <w:rFonts w:ascii="Times" w:hAnsi="Times" w:cs="Arial"/>
          <w:color w:val="000000"/>
          <w:lang w:eastAsia="en-US"/>
        </w:rPr>
        <w:t xml:space="preserve">A]*0.2mL)/(5.3 mM-1*0.02mL) </w:t>
      </w:r>
    </w:p>
    <w:p w14:paraId="09016DE5" w14:textId="52BE88B6" w:rsidR="00F451C2" w:rsidRPr="00F451C2" w:rsidRDefault="00F451C2" w:rsidP="00F451C2">
      <w:pPr>
        <w:spacing w:line="360" w:lineRule="auto"/>
        <w:rPr>
          <w:rFonts w:ascii="Times" w:eastAsia="Times New Roman" w:hAnsi="Times" w:cs="Times New Roman"/>
          <w:lang w:eastAsia="en-US"/>
        </w:rPr>
      </w:pPr>
    </w:p>
    <w:p w14:paraId="16E19FD8" w14:textId="77777777" w:rsidR="00F451C2" w:rsidRPr="00F451C2" w:rsidRDefault="00F451C2" w:rsidP="00F451C2">
      <w:pPr>
        <w:spacing w:line="360" w:lineRule="auto"/>
        <w:rPr>
          <w:rFonts w:ascii="Times" w:hAnsi="Times" w:cs="Times New Roman"/>
          <w:lang w:eastAsia="en-US"/>
        </w:rPr>
      </w:pPr>
      <w:proofErr w:type="gramStart"/>
      <w:r w:rsidRPr="00F451C2">
        <w:rPr>
          <w:rFonts w:ascii="Times" w:hAnsi="Times" w:cs="Arial"/>
          <w:color w:val="000000"/>
          <w:lang w:eastAsia="en-US"/>
        </w:rPr>
        <w:t>where</w:t>
      </w:r>
      <w:proofErr w:type="gramEnd"/>
      <w:r w:rsidRPr="00F451C2">
        <w:rPr>
          <w:rFonts w:ascii="Times" w:hAnsi="Times" w:cs="Arial"/>
          <w:color w:val="000000"/>
          <w:lang w:eastAsia="en-US"/>
        </w:rPr>
        <w:t xml:space="preserve"> 0.2 mL = reaction volume, 5.3 mM-1 is the extinction coefficient for CDNB in a 96-well plate, and 0.02 mL is the enzyme volume.  For each sample, GST activity was divided by sample concentration to achieve an activity expressed per mg of tissue (µmol/mg/min).  </w:t>
      </w:r>
    </w:p>
    <w:p w14:paraId="55EF95F7" w14:textId="06BE9AE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SOD activity is measured as an inhibition rate of the assay.  The inhibition rate is: </w:t>
      </w:r>
    </w:p>
    <w:p w14:paraId="594A0382" w14:textId="77777777" w:rsidR="00F451C2" w:rsidRDefault="00F451C2" w:rsidP="00F451C2">
      <w:pPr>
        <w:spacing w:line="360" w:lineRule="auto"/>
        <w:rPr>
          <w:rFonts w:ascii="Times" w:hAnsi="Times" w:cs="Arial"/>
          <w:color w:val="000000"/>
          <w:lang w:eastAsia="en-US"/>
        </w:rPr>
      </w:pPr>
    </w:p>
    <w:p w14:paraId="6358FDD2" w14:textId="77777777" w:rsidR="00F451C2" w:rsidRPr="00F451C2" w:rsidRDefault="00F451C2" w:rsidP="00F451C2">
      <w:pPr>
        <w:spacing w:line="360" w:lineRule="auto"/>
        <w:rPr>
          <w:rFonts w:ascii="Times" w:hAnsi="Times" w:cs="Times New Roman"/>
          <w:lang w:eastAsia="en-US"/>
        </w:rPr>
      </w:pPr>
      <w:proofErr w:type="gramStart"/>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]-[A</w:t>
      </w:r>
      <w:r w:rsidRPr="00F451C2">
        <w:rPr>
          <w:rFonts w:ascii="Times" w:hAnsi="Times" w:cs="Arial"/>
          <w:color w:val="000000"/>
          <w:vertAlign w:val="subscript"/>
          <w:lang w:eastAsia="en-US"/>
        </w:rPr>
        <w:t>sample</w:t>
      </w:r>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 * 100.</w:t>
      </w:r>
      <w:proofErr w:type="gramEnd"/>
      <w:r w:rsidRPr="00F451C2">
        <w:rPr>
          <w:rFonts w:ascii="Times" w:hAnsi="Times" w:cs="Arial"/>
          <w:color w:val="000000"/>
          <w:lang w:eastAsia="en-US"/>
        </w:rPr>
        <w:t xml:space="preserve">  </w:t>
      </w:r>
    </w:p>
    <w:p w14:paraId="680E3A01" w14:textId="12A7EAAC" w:rsidR="00F451C2" w:rsidRPr="00F451C2" w:rsidRDefault="00F451C2" w:rsidP="00F451C2">
      <w:pPr>
        <w:spacing w:line="360" w:lineRule="auto"/>
        <w:rPr>
          <w:rFonts w:ascii="Times" w:eastAsia="Times New Roman" w:hAnsi="Times" w:cs="Times New Roman"/>
          <w:lang w:eastAsia="en-US"/>
        </w:rPr>
      </w:pPr>
      <w:r w:rsidRPr="00F451C2">
        <w:rPr>
          <w:rFonts w:ascii="Times" w:eastAsia="Times New Roman" w:hAnsi="Times" w:cs="Times New Roman"/>
          <w:lang w:eastAsia="en-US"/>
        </w:rPr>
        <w:br/>
      </w:r>
      <w:r w:rsidRPr="00F451C2">
        <w:rPr>
          <w:rFonts w:ascii="Times" w:eastAsia="Times New Roman" w:hAnsi="Times" w:cs="Arial"/>
          <w:color w:val="000000"/>
          <w:lang w:eastAsia="en-US"/>
        </w:rPr>
        <w:t xml:space="preserve">Blanks 2 and 3 were also run, as per the manufacturer’s protocol, but since their kinetic slopes = 0 they were excluded from the calculations </w:t>
      </w:r>
      <w:r w:rsidR="001C08F9">
        <w:rPr>
          <w:rFonts w:ascii="Times" w:eastAsia="Times New Roman" w:hAnsi="Times" w:cs="Arial"/>
          <w:color w:val="000000"/>
          <w:lang w:eastAsia="en-US"/>
        </w:rPr>
        <w:t>because they did not represent a significant contribution</w:t>
      </w:r>
      <w:r w:rsidRPr="00F451C2">
        <w:rPr>
          <w:rFonts w:ascii="Times" w:eastAsia="Times New Roman" w:hAnsi="Times" w:cs="Arial"/>
          <w:color w:val="000000"/>
          <w:lang w:eastAsia="en-US"/>
        </w:rPr>
        <w:t xml:space="preserve"> to the background SOD activity.  Replicates were excluded (1 each for 6 samples) if linearity of the reaction curve was not achieved by the time point 15 min, 10s.  The linear relationship between % inhibition and </w:t>
      </w:r>
      <w:proofErr w:type="gramStart"/>
      <w:r w:rsidRPr="00F451C2">
        <w:rPr>
          <w:rFonts w:ascii="Times" w:eastAsia="Times New Roman" w:hAnsi="Times" w:cs="Arial"/>
          <w:color w:val="000000"/>
          <w:lang w:eastAsia="en-US"/>
        </w:rPr>
        <w:t>ln[</w:t>
      </w:r>
      <w:proofErr w:type="gramEnd"/>
      <w:r w:rsidRPr="00F451C2">
        <w:rPr>
          <w:rFonts w:ascii="Times" w:eastAsia="Times New Roman" w:hAnsi="Times" w:cs="Arial"/>
          <w:color w:val="000000"/>
          <w:lang w:eastAsia="en-US"/>
        </w:rPr>
        <w:t xml:space="preserve">standard concentration] was plotted and the equation for the line of best fit was used to calculate U/ml of SOD (based on % inhibition) for all of the samples (Supplementary 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w:t>
      </w:r>
    </w:p>
    <w:p w14:paraId="04098AC1" w14:textId="3668F988" w:rsidR="00F451C2" w:rsidRPr="00305757" w:rsidRDefault="00F451C2" w:rsidP="00305757">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For GST and SOD activity, effect of treatment on enzyme activity was explored with a one-way ANOVA with treatment as a fixed factor and significant differences were further investigated using Tukey’s HSD.</w:t>
      </w:r>
    </w:p>
    <w:p w14:paraId="04D4149B" w14:textId="77777777" w:rsidR="00F451C2" w:rsidRPr="00F451C2" w:rsidRDefault="00F451C2" w:rsidP="00F451C2"/>
    <w:p w14:paraId="3D8670C1" w14:textId="77777777" w:rsidR="00C02D9B" w:rsidRDefault="00C02D9B" w:rsidP="00C02D9B">
      <w:pPr>
        <w:pStyle w:val="Heading2"/>
      </w:pPr>
      <w:bookmarkStart w:id="91" w:name="_Toc252110043"/>
      <w:r>
        <w:t>Results</w:t>
      </w:r>
      <w:bookmarkEnd w:id="91"/>
    </w:p>
    <w:p w14:paraId="588A4BD2" w14:textId="77777777" w:rsidR="00F451C2" w:rsidRDefault="00F451C2" w:rsidP="00BC5F99">
      <w:pPr>
        <w:pStyle w:val="Heading3"/>
        <w:rPr>
          <w:lang w:eastAsia="en-US"/>
        </w:rPr>
      </w:pPr>
      <w:bookmarkStart w:id="92" w:name="_Toc252110044"/>
      <w:r w:rsidRPr="00F451C2">
        <w:rPr>
          <w:lang w:eastAsia="en-US"/>
        </w:rPr>
        <w:t>Glutathione S-transferase</w:t>
      </w:r>
      <w:bookmarkEnd w:id="92"/>
    </w:p>
    <w:p w14:paraId="00C8F292" w14:textId="77777777" w:rsidR="00BC5F99" w:rsidRPr="00BC5F99" w:rsidRDefault="00BC5F99" w:rsidP="00BC5F99"/>
    <w:p w14:paraId="0FBE03AA" w14:textId="1EA54C70" w:rsidR="00F451C2" w:rsidRPr="00F451C2" w:rsidRDefault="00F451C2" w:rsidP="00F451C2">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Mean GST activity</w:t>
      </w:r>
      <w:r w:rsidR="00305757">
        <w:rPr>
          <w:rFonts w:ascii="Times" w:eastAsia="Times New Roman"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eastAsia="Times New Roman" w:hAnsi="Times" w:cs="Arial"/>
          <w:color w:val="000000"/>
          <w:lang w:eastAsia="en-US"/>
        </w:rPr>
        <w:t xml:space="preserve"> was 0.0198 </w:t>
      </w:r>
      <w:r w:rsidRPr="00F451C2">
        <w:rPr>
          <w:rFonts w:ascii="Times" w:eastAsia="Times New Roman" w:hAnsi="Times" w:cs="Arial"/>
          <w:i/>
          <w:iCs/>
          <w:color w:val="000000"/>
          <w:lang w:eastAsia="en-US"/>
        </w:rPr>
        <w:t>±</w:t>
      </w:r>
      <w:r w:rsidR="00305757">
        <w:rPr>
          <w:rFonts w:ascii="Times" w:eastAsia="Times New Roman" w:hAnsi="Times" w:cs="Arial"/>
          <w:color w:val="000000"/>
          <w:lang w:eastAsia="en-US"/>
        </w:rPr>
        <w:t xml:space="preserve"> 0</w:t>
      </w:r>
      <w:r w:rsidRPr="00F451C2">
        <w:rPr>
          <w:rFonts w:ascii="Times" w:eastAsia="Times New Roman" w:hAnsi="Times" w:cs="Arial"/>
          <w:color w:val="000000"/>
          <w:lang w:eastAsia="en-US"/>
        </w:rPr>
        <w:t xml:space="preserve">.0098 µmol/mg/min for oysters in the </w:t>
      </w:r>
      <w:proofErr w:type="gramStart"/>
      <w:r w:rsidRPr="00F451C2">
        <w:rPr>
          <w:rFonts w:ascii="Times" w:eastAsia="Times New Roman" w:hAnsi="Times" w:cs="Arial"/>
          <w:color w:val="000000"/>
          <w:lang w:eastAsia="en-US"/>
        </w:rPr>
        <w:t>400 µ</w:t>
      </w:r>
      <w:proofErr w:type="gramEnd"/>
      <w:r w:rsidRPr="00F451C2">
        <w:rPr>
          <w:rFonts w:ascii="Times" w:eastAsia="Times New Roman" w:hAnsi="Times" w:cs="Arial"/>
          <w:color w:val="000000"/>
          <w:lang w:eastAsia="en-US"/>
        </w:rPr>
        <w:t xml:space="preserve">atm treatment, 0.0156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0.0078 µmol/mg/min for oysters from 1000 µatm,</w:t>
      </w:r>
      <w:r w:rsidR="00305757">
        <w:rPr>
          <w:rFonts w:ascii="Times" w:eastAsia="Times New Roman" w:hAnsi="Times" w:cs="Arial"/>
          <w:color w:val="000000"/>
          <w:lang w:eastAsia="en-US"/>
        </w:rPr>
        <w:t xml:space="preserve"> and</w:t>
      </w:r>
      <w:r w:rsidRPr="00F451C2">
        <w:rPr>
          <w:rFonts w:ascii="Times" w:eastAsia="Times New Roman" w:hAnsi="Times" w:cs="Arial"/>
          <w:color w:val="000000"/>
          <w:lang w:eastAsia="en-US"/>
        </w:rPr>
        <w:t xml:space="preserve"> 0.0161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0.093 µmol/mg/min for oysters from 2800 µatm</w:t>
      </w:r>
      <w:r w:rsidR="00305757">
        <w:rPr>
          <w:rFonts w:ascii="Times" w:eastAsia="Times New Roman" w:hAnsi="Times" w:cs="Arial"/>
          <w:color w:val="000000"/>
          <w:lang w:eastAsia="en-US"/>
        </w:rPr>
        <w:t xml:space="preserve"> </w:t>
      </w:r>
      <w:r w:rsidRPr="00F451C2">
        <w:rPr>
          <w:rFonts w:ascii="Times" w:eastAsia="Times New Roman" w:hAnsi="Times" w:cs="Arial"/>
          <w:color w:val="000000"/>
          <w:lang w:eastAsia="en-US"/>
        </w:rPr>
        <w:t xml:space="preserve">(Figure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  There was no significant difference in GST activity among treatment groups (F=0.</w:t>
      </w:r>
      <w:r w:rsidR="0036143A">
        <w:rPr>
          <w:rFonts w:ascii="Times" w:eastAsia="Times New Roman" w:hAnsi="Times" w:cs="Arial"/>
          <w:color w:val="000000"/>
          <w:lang w:eastAsia="en-US"/>
        </w:rPr>
        <w:t>4596</w:t>
      </w:r>
      <w:r w:rsidRPr="00F451C2">
        <w:rPr>
          <w:rFonts w:ascii="Times" w:eastAsia="Times New Roman" w:hAnsi="Times" w:cs="Arial"/>
          <w:color w:val="000000"/>
          <w:lang w:eastAsia="en-US"/>
        </w:rPr>
        <w:t>, p=0.</w:t>
      </w:r>
      <w:r w:rsidR="0036143A">
        <w:rPr>
          <w:rFonts w:ascii="Times" w:eastAsia="Times New Roman" w:hAnsi="Times" w:cs="Arial"/>
          <w:color w:val="000000"/>
          <w:lang w:eastAsia="en-US"/>
        </w:rPr>
        <w:t>6493</w:t>
      </w:r>
      <w:r w:rsidRPr="00F451C2">
        <w:rPr>
          <w:rFonts w:ascii="Times" w:eastAsia="Times New Roman" w:hAnsi="Times" w:cs="Arial"/>
          <w:color w:val="000000"/>
          <w:lang w:eastAsia="en-US"/>
        </w:rPr>
        <w:t>).</w:t>
      </w:r>
    </w:p>
    <w:p w14:paraId="46A65968" w14:textId="7AEA053C" w:rsidR="00F451C2" w:rsidRDefault="00EE4D1C" w:rsidP="00F451C2">
      <w:pPr>
        <w:spacing w:line="360" w:lineRule="auto"/>
        <w:rPr>
          <w:rFonts w:ascii="Times" w:hAnsi="Times"/>
        </w:rPr>
      </w:pPr>
      <w:r>
        <w:rPr>
          <w:rFonts w:ascii="Times" w:hAnsi="Times"/>
          <w:noProof/>
          <w:lang w:eastAsia="en-US"/>
        </w:rPr>
        <w:drawing>
          <wp:inline distT="0" distB="0" distL="0" distR="0" wp14:anchorId="7ED7BAC4" wp14:editId="273D2EEA">
            <wp:extent cx="4384040" cy="4384040"/>
            <wp:effectExtent l="0" t="0" r="1016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 pCO2 only.jpg"/>
                    <pic:cNvPicPr/>
                  </pic:nvPicPr>
                  <pic:blipFill>
                    <a:blip r:embed="rId35">
                      <a:extLst>
                        <a:ext uri="{28A0092B-C50C-407E-A947-70E740481C1C}">
                          <a14:useLocalDpi xmlns:a14="http://schemas.microsoft.com/office/drawing/2010/main" val="0"/>
                        </a:ext>
                      </a:extLst>
                    </a:blip>
                    <a:stretch>
                      <a:fillRect/>
                    </a:stretch>
                  </pic:blipFill>
                  <pic:spPr>
                    <a:xfrm>
                      <a:off x="0" y="0"/>
                      <a:ext cx="4384040" cy="4384040"/>
                    </a:xfrm>
                    <a:prstGeom prst="rect">
                      <a:avLst/>
                    </a:prstGeom>
                  </pic:spPr>
                </pic:pic>
              </a:graphicData>
            </a:graphic>
          </wp:inline>
        </w:drawing>
      </w:r>
    </w:p>
    <w:p w14:paraId="5F5A7017" w14:textId="0F7DEA61" w:rsidR="00F451C2" w:rsidRPr="00F451C2" w:rsidRDefault="00F451C2" w:rsidP="00F451C2">
      <w:pPr>
        <w:rPr>
          <w:rFonts w:ascii="Times" w:eastAsia="Times New Roman" w:hAnsi="Times" w:cs="Times New Roman"/>
          <w:sz w:val="20"/>
          <w:szCs w:val="20"/>
          <w:lang w:eastAsia="en-US"/>
        </w:rPr>
      </w:pPr>
      <w:r>
        <w:rPr>
          <w:rFonts w:ascii="Times" w:hAnsi="Times"/>
        </w:rPr>
        <w:t>Figure AppA.1</w:t>
      </w:r>
      <w:r w:rsidRPr="00F451C2">
        <w:rPr>
          <w:rFonts w:ascii="Arial" w:eastAsia="Times New Roman" w:hAnsi="Arial" w:cs="Arial"/>
          <w:i/>
          <w:iCs/>
          <w:color w:val="000000"/>
          <w:sz w:val="23"/>
          <w:szCs w:val="23"/>
          <w:lang w:eastAsia="en-US"/>
        </w:rPr>
        <w:t xml:space="preserve">. </w:t>
      </w:r>
      <w:r w:rsidRPr="00F451C2">
        <w:rPr>
          <w:rFonts w:ascii="Times" w:eastAsia="Times New Roman" w:hAnsi="Times" w:cs="Arial"/>
          <w:iCs/>
          <w:color w:val="000000"/>
          <w:lang w:eastAsia="en-US"/>
        </w:rPr>
        <w:t>Mean GST activity per treatment with 95% confidence intervals.  There is no statistical difference among the treatments.</w:t>
      </w:r>
    </w:p>
    <w:p w14:paraId="388C2D86" w14:textId="74BB35FC" w:rsidR="00F451C2" w:rsidRPr="00F451C2" w:rsidRDefault="00F451C2" w:rsidP="00F451C2">
      <w:pPr>
        <w:spacing w:line="360" w:lineRule="auto"/>
        <w:rPr>
          <w:rFonts w:ascii="Times" w:hAnsi="Times"/>
        </w:rPr>
      </w:pPr>
    </w:p>
    <w:p w14:paraId="3FE6B145" w14:textId="41B397D6" w:rsidR="00F451C2" w:rsidRDefault="00F451C2" w:rsidP="00BC5F99">
      <w:pPr>
        <w:pStyle w:val="Heading3"/>
        <w:rPr>
          <w:lang w:eastAsia="en-US"/>
        </w:rPr>
      </w:pPr>
      <w:bookmarkStart w:id="93" w:name="_Toc252110045"/>
      <w:r w:rsidRPr="00F451C2">
        <w:rPr>
          <w:lang w:eastAsia="en-US"/>
        </w:rPr>
        <w:t>Superoxide dismutase</w:t>
      </w:r>
      <w:bookmarkEnd w:id="93"/>
    </w:p>
    <w:p w14:paraId="380E79CC" w14:textId="77777777" w:rsidR="00BC5F99" w:rsidRPr="00BC5F99" w:rsidRDefault="00BC5F99" w:rsidP="00BC5F99"/>
    <w:p w14:paraId="21A67558" w14:textId="19548141" w:rsidR="00F451C2" w:rsidRDefault="00F451C2" w:rsidP="00F451C2">
      <w:pPr>
        <w:spacing w:line="360" w:lineRule="auto"/>
        <w:ind w:firstLine="720"/>
        <w:rPr>
          <w:rFonts w:ascii="Times" w:hAnsi="Times" w:cs="Arial"/>
          <w:color w:val="000000"/>
          <w:lang w:eastAsia="en-US"/>
        </w:rPr>
      </w:pPr>
      <w:r w:rsidRPr="00F451C2">
        <w:rPr>
          <w:rFonts w:ascii="Times" w:hAnsi="Times" w:cs="Arial"/>
          <w:color w:val="000000"/>
          <w:lang w:eastAsia="en-US"/>
        </w:rPr>
        <w:t>Mean SOD activity</w:t>
      </w:r>
      <w:r w:rsidR="00305757">
        <w:rPr>
          <w:rFonts w:ascii="Times"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hAnsi="Times" w:cs="Arial"/>
          <w:color w:val="000000"/>
          <w:lang w:eastAsia="en-US"/>
        </w:rPr>
        <w:t xml:space="preserve"> was 0.75 </w:t>
      </w:r>
      <w:r w:rsidRPr="00F451C2">
        <w:rPr>
          <w:rFonts w:ascii="Times" w:hAnsi="Times" w:cs="Arial"/>
          <w:i/>
          <w:iCs/>
          <w:color w:val="000000"/>
          <w:lang w:eastAsia="en-US"/>
        </w:rPr>
        <w:t>±</w:t>
      </w:r>
      <w:r w:rsidRPr="00F451C2">
        <w:rPr>
          <w:rFonts w:ascii="Times" w:hAnsi="Times" w:cs="Arial"/>
          <w:color w:val="000000"/>
          <w:lang w:eastAsia="en-US"/>
        </w:rPr>
        <w:t xml:space="preserve"> 0.3 U/mg for the </w:t>
      </w:r>
      <w:proofErr w:type="gramStart"/>
      <w:r w:rsidRPr="00F451C2">
        <w:rPr>
          <w:rFonts w:ascii="Times" w:hAnsi="Times" w:cs="Arial"/>
          <w:color w:val="000000"/>
          <w:lang w:eastAsia="en-US"/>
        </w:rPr>
        <w:t>400 µ</w:t>
      </w:r>
      <w:proofErr w:type="gramEnd"/>
      <w:r w:rsidRPr="00F451C2">
        <w:rPr>
          <w:rFonts w:ascii="Times" w:hAnsi="Times" w:cs="Arial"/>
          <w:color w:val="000000"/>
          <w:lang w:eastAsia="en-US"/>
        </w:rPr>
        <w:t xml:space="preserve">atm oysters, 1.05 </w:t>
      </w:r>
      <w:r w:rsidRPr="00F451C2">
        <w:rPr>
          <w:rFonts w:ascii="Times" w:hAnsi="Times" w:cs="Arial"/>
          <w:i/>
          <w:iCs/>
          <w:color w:val="000000"/>
          <w:lang w:eastAsia="en-US"/>
        </w:rPr>
        <w:t>±</w:t>
      </w:r>
      <w:r w:rsidRPr="00F451C2">
        <w:rPr>
          <w:rFonts w:ascii="Times" w:hAnsi="Times" w:cs="Arial"/>
          <w:color w:val="000000"/>
          <w:lang w:eastAsia="en-US"/>
        </w:rPr>
        <w:t xml:space="preserve"> 0.7 U/mg for the 1000 µatm oysters, 2.60 </w:t>
      </w:r>
      <w:r w:rsidRPr="00F451C2">
        <w:rPr>
          <w:rFonts w:ascii="Times" w:hAnsi="Times" w:cs="Arial"/>
          <w:i/>
          <w:iCs/>
          <w:color w:val="000000"/>
          <w:lang w:eastAsia="en-US"/>
        </w:rPr>
        <w:t>±</w:t>
      </w:r>
      <w:r w:rsidRPr="00F451C2">
        <w:rPr>
          <w:rFonts w:ascii="Times" w:hAnsi="Times" w:cs="Arial"/>
          <w:color w:val="000000"/>
          <w:lang w:eastAsia="en-US"/>
        </w:rPr>
        <w:t xml:space="preserve"> 0.4 U/mg for the 2800 µatm oysters</w:t>
      </w:r>
      <w:r w:rsidR="00305757">
        <w:rPr>
          <w:rFonts w:ascii="Times" w:hAnsi="Times" w:cs="Arial"/>
          <w:color w:val="000000"/>
          <w:lang w:eastAsia="en-US"/>
        </w:rPr>
        <w:t xml:space="preserve"> </w:t>
      </w:r>
      <w:r w:rsidRPr="00F451C2">
        <w:rPr>
          <w:rFonts w:ascii="Times" w:hAnsi="Times" w:cs="Arial"/>
          <w:color w:val="000000"/>
          <w:lang w:eastAsia="en-US"/>
        </w:rPr>
        <w:t xml:space="preserve">(Figure </w:t>
      </w:r>
      <w:r w:rsidR="00305757">
        <w:rPr>
          <w:rFonts w:ascii="Times" w:hAnsi="Times" w:cs="Arial"/>
          <w:color w:val="000000"/>
          <w:lang w:eastAsia="en-US"/>
        </w:rPr>
        <w:t>AppA.</w:t>
      </w:r>
      <w:r w:rsidRPr="00F451C2">
        <w:rPr>
          <w:rFonts w:ascii="Times" w:hAnsi="Times" w:cs="Arial"/>
          <w:color w:val="000000"/>
          <w:lang w:eastAsia="en-US"/>
        </w:rPr>
        <w:t>2).  There was significant effect of treatment on SOD activity (F=</w:t>
      </w:r>
      <w:r w:rsidR="0036143A">
        <w:rPr>
          <w:rFonts w:ascii="Times" w:hAnsi="Times" w:cs="Arial"/>
          <w:color w:val="000000"/>
          <w:lang w:eastAsia="en-US"/>
        </w:rPr>
        <w:t>40.799</w:t>
      </w:r>
      <w:r w:rsidRPr="00F451C2">
        <w:rPr>
          <w:rFonts w:ascii="Times" w:hAnsi="Times" w:cs="Arial"/>
          <w:color w:val="000000"/>
          <w:lang w:eastAsia="en-US"/>
        </w:rPr>
        <w:t>, p=</w:t>
      </w:r>
      <w:r w:rsidR="0036143A">
        <w:rPr>
          <w:rFonts w:ascii="Times" w:hAnsi="Times" w:cs="Arial"/>
          <w:color w:val="000000"/>
          <w:lang w:eastAsia="en-US"/>
        </w:rPr>
        <w:t>8.153e-6</w:t>
      </w:r>
      <w:r w:rsidRPr="00F451C2">
        <w:rPr>
          <w:rFonts w:ascii="Times" w:hAnsi="Times" w:cs="Arial"/>
          <w:color w:val="000000"/>
          <w:lang w:eastAsia="en-US"/>
        </w:rPr>
        <w:t>).  This difference was due to the elevated SOD activity in oysters exposed to 2800 µatm compared to the other two treatments (</w:t>
      </w:r>
      <w:r w:rsidR="00305757">
        <w:rPr>
          <w:rFonts w:ascii="Times" w:hAnsi="Times" w:cs="Arial"/>
          <w:color w:val="000000"/>
          <w:lang w:eastAsia="en-US"/>
        </w:rPr>
        <w:t>p &lt; 0.05</w:t>
      </w:r>
      <w:r w:rsidRPr="00F451C2">
        <w:rPr>
          <w:rFonts w:ascii="Times" w:hAnsi="Times" w:cs="Arial"/>
          <w:color w:val="000000"/>
          <w:lang w:eastAsia="en-US"/>
        </w:rPr>
        <w:t>), which were not different from each other.</w:t>
      </w:r>
    </w:p>
    <w:p w14:paraId="1C3775E3" w14:textId="09A6B231" w:rsidR="00F451C2" w:rsidRDefault="00EE4D1C" w:rsidP="00F451C2">
      <w:pPr>
        <w:spacing w:line="360" w:lineRule="auto"/>
        <w:rPr>
          <w:rFonts w:ascii="Times" w:hAnsi="Times" w:cs="Times New Roman"/>
          <w:lang w:eastAsia="en-US"/>
        </w:rPr>
      </w:pPr>
      <w:r>
        <w:rPr>
          <w:rFonts w:ascii="Times" w:hAnsi="Times" w:cs="Times New Roman"/>
          <w:noProof/>
          <w:lang w:eastAsia="en-US"/>
        </w:rPr>
        <w:drawing>
          <wp:inline distT="0" distB="0" distL="0" distR="0" wp14:anchorId="5B0EC6CF" wp14:editId="65AABB01">
            <wp:extent cx="4394835" cy="4394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 pCO2 only.jpg"/>
                    <pic:cNvPicPr/>
                  </pic:nvPicPr>
                  <pic:blipFill>
                    <a:blip r:embed="rId36">
                      <a:extLst>
                        <a:ext uri="{28A0092B-C50C-407E-A947-70E740481C1C}">
                          <a14:useLocalDpi xmlns:a14="http://schemas.microsoft.com/office/drawing/2010/main" val="0"/>
                        </a:ext>
                      </a:extLst>
                    </a:blip>
                    <a:stretch>
                      <a:fillRect/>
                    </a:stretch>
                  </pic:blipFill>
                  <pic:spPr>
                    <a:xfrm>
                      <a:off x="0" y="0"/>
                      <a:ext cx="4394835" cy="4394835"/>
                    </a:xfrm>
                    <a:prstGeom prst="rect">
                      <a:avLst/>
                    </a:prstGeom>
                  </pic:spPr>
                </pic:pic>
              </a:graphicData>
            </a:graphic>
          </wp:inline>
        </w:drawing>
      </w:r>
    </w:p>
    <w:p w14:paraId="4B56F984" w14:textId="04616309" w:rsidR="00F451C2" w:rsidRPr="00F451C2" w:rsidRDefault="00F451C2" w:rsidP="00F451C2">
      <w:pPr>
        <w:rPr>
          <w:rFonts w:ascii="Times" w:eastAsia="Times New Roman" w:hAnsi="Times" w:cs="Times New Roman"/>
          <w:lang w:eastAsia="en-US"/>
        </w:rPr>
      </w:pPr>
      <w:r>
        <w:rPr>
          <w:rFonts w:ascii="Times" w:hAnsi="Times" w:cs="Times New Roman"/>
          <w:lang w:eastAsia="en-US"/>
        </w:rPr>
        <w:t xml:space="preserve">Figure AppA.2. </w:t>
      </w:r>
      <w:r w:rsidRPr="00F451C2">
        <w:rPr>
          <w:rFonts w:ascii="Times" w:eastAsia="Times New Roman" w:hAnsi="Times" w:cs="Arial"/>
          <w:iCs/>
          <w:color w:val="000000"/>
          <w:lang w:eastAsia="en-US"/>
        </w:rPr>
        <w:t>Mean units of SOD per mg of tissue with 95% confidence intervals for each treatmen</w:t>
      </w:r>
      <w:r w:rsidR="001010D9">
        <w:rPr>
          <w:rFonts w:ascii="Times" w:eastAsia="Times New Roman" w:hAnsi="Times" w:cs="Arial"/>
          <w:iCs/>
          <w:color w:val="000000"/>
          <w:lang w:eastAsia="en-US"/>
        </w:rPr>
        <w:t xml:space="preserve">t.  SOD activities in 2800 µatm-exposed oysters </w:t>
      </w:r>
      <w:r w:rsidRPr="00F451C2">
        <w:rPr>
          <w:rFonts w:ascii="Times" w:eastAsia="Times New Roman" w:hAnsi="Times" w:cs="Arial"/>
          <w:iCs/>
          <w:color w:val="000000"/>
          <w:lang w:eastAsia="en-US"/>
        </w:rPr>
        <w:t xml:space="preserve">are statistically different from those </w:t>
      </w:r>
      <w:r w:rsidR="001010D9">
        <w:rPr>
          <w:rFonts w:ascii="Times" w:eastAsia="Times New Roman" w:hAnsi="Times" w:cs="Arial"/>
          <w:iCs/>
          <w:color w:val="000000"/>
          <w:lang w:eastAsia="en-US"/>
        </w:rPr>
        <w:t>at</w:t>
      </w:r>
      <w:r w:rsidRPr="00F451C2">
        <w:rPr>
          <w:rFonts w:ascii="Times" w:eastAsia="Times New Roman" w:hAnsi="Times" w:cs="Arial"/>
          <w:iCs/>
          <w:color w:val="000000"/>
          <w:lang w:eastAsia="en-US"/>
        </w:rPr>
        <w:t xml:space="preserve"> 400 and 1000 µatm.</w:t>
      </w:r>
    </w:p>
    <w:p w14:paraId="3614D47E" w14:textId="2DD30124" w:rsidR="00F451C2" w:rsidRPr="00F451C2" w:rsidRDefault="00F451C2" w:rsidP="00F451C2">
      <w:pPr>
        <w:spacing w:line="360" w:lineRule="auto"/>
        <w:rPr>
          <w:rFonts w:ascii="Times" w:hAnsi="Times" w:cs="Times New Roman"/>
          <w:lang w:eastAsia="en-US"/>
        </w:rPr>
      </w:pPr>
    </w:p>
    <w:p w14:paraId="69A07580" w14:textId="77777777" w:rsidR="00C02D9B" w:rsidRDefault="00C02D9B" w:rsidP="00C02D9B">
      <w:pPr>
        <w:pStyle w:val="Heading2"/>
      </w:pPr>
      <w:bookmarkStart w:id="94" w:name="_Toc252110046"/>
      <w:r>
        <w:t>Discussion</w:t>
      </w:r>
      <w:bookmarkEnd w:id="94"/>
    </w:p>
    <w:p w14:paraId="379DEEFC" w14:textId="77777777" w:rsidR="00C85C10" w:rsidRPr="00C85C10" w:rsidRDefault="00C85C10" w:rsidP="00C85C10"/>
    <w:p w14:paraId="4BC8A417" w14:textId="11109A53" w:rsidR="00C02D9B" w:rsidRDefault="004238B2" w:rsidP="002053D6">
      <w:pPr>
        <w:spacing w:line="360" w:lineRule="auto"/>
        <w:rPr>
          <w:rFonts w:ascii="Times" w:eastAsia="Times New Roman" w:hAnsi="Times" w:cs="Arial"/>
          <w:iCs/>
          <w:color w:val="000000"/>
          <w:lang w:eastAsia="en-US"/>
        </w:rPr>
      </w:pPr>
      <w:r>
        <w:tab/>
      </w:r>
      <w:r w:rsidR="006121D9">
        <w:t xml:space="preserve">Moderately elevated </w:t>
      </w:r>
      <w:r w:rsidR="006121D9" w:rsidRPr="00F061DB">
        <w:rPr>
          <w:i/>
        </w:rPr>
        <w:t>p</w:t>
      </w:r>
      <w:r w:rsidR="006121D9">
        <w:t>CO</w:t>
      </w:r>
      <w:r w:rsidR="006121D9" w:rsidRPr="00F061DB">
        <w:rPr>
          <w:vertAlign w:val="subscript"/>
        </w:rPr>
        <w:t>2</w:t>
      </w:r>
      <w:r w:rsidR="006121D9">
        <w:t xml:space="preserve"> (1000 </w:t>
      </w:r>
      <w:r w:rsidR="006121D9">
        <w:rPr>
          <w:rFonts w:ascii="Times" w:eastAsia="Times New Roman" w:hAnsi="Times" w:cs="Arial"/>
          <w:iCs/>
          <w:color w:val="000000"/>
          <w:lang w:eastAsia="en-US"/>
        </w:rPr>
        <w:t xml:space="preserve">µatm) does not lead to oxidative stress in </w:t>
      </w:r>
      <w:r w:rsidR="006121D9">
        <w:rPr>
          <w:rFonts w:ascii="Times" w:eastAsia="Times New Roman" w:hAnsi="Times" w:cs="Arial"/>
          <w:i/>
          <w:iCs/>
          <w:color w:val="000000"/>
          <w:lang w:eastAsia="en-US"/>
        </w:rPr>
        <w:t>C. gigas</w:t>
      </w:r>
      <w:r w:rsidR="006121D9">
        <w:rPr>
          <w:rFonts w:ascii="Times" w:eastAsia="Times New Roman" w:hAnsi="Times" w:cs="Arial"/>
          <w:iCs/>
          <w:color w:val="000000"/>
          <w:lang w:eastAsia="en-US"/>
        </w:rPr>
        <w:t>, but highly elevated</w:t>
      </w:r>
      <w:r w:rsidR="008C2481">
        <w:rPr>
          <w:rFonts w:ascii="Times" w:eastAsia="Times New Roman" w:hAnsi="Times" w:cs="Arial"/>
          <w:iCs/>
          <w:color w:val="000000"/>
          <w:lang w:eastAsia="en-US"/>
        </w:rPr>
        <w:t xml:space="preserve"> </w:t>
      </w:r>
      <w:r w:rsidR="008C2481" w:rsidRPr="008C2481">
        <w:rPr>
          <w:rFonts w:ascii="Times" w:eastAsia="Times New Roman" w:hAnsi="Times" w:cs="Arial"/>
          <w:i/>
          <w:iCs/>
          <w:color w:val="000000"/>
          <w:lang w:eastAsia="en-US"/>
        </w:rPr>
        <w:t>p</w:t>
      </w:r>
      <w:r w:rsidR="008C2481">
        <w:rPr>
          <w:rFonts w:ascii="Times" w:eastAsia="Times New Roman" w:hAnsi="Times" w:cs="Arial"/>
          <w:iCs/>
          <w:color w:val="000000"/>
          <w:lang w:eastAsia="en-US"/>
        </w:rPr>
        <w:t>CO</w:t>
      </w:r>
      <w:r w:rsidR="008C2481" w:rsidRPr="008C2481">
        <w:rPr>
          <w:rFonts w:ascii="Times" w:eastAsia="Times New Roman" w:hAnsi="Times" w:cs="Arial"/>
          <w:iCs/>
          <w:color w:val="000000"/>
          <w:vertAlign w:val="subscript"/>
          <w:lang w:eastAsia="en-US"/>
        </w:rPr>
        <w:t>2</w:t>
      </w:r>
      <w:r w:rsidR="006121D9">
        <w:rPr>
          <w:rFonts w:ascii="Times" w:eastAsia="Times New Roman" w:hAnsi="Times" w:cs="Arial"/>
          <w:iCs/>
          <w:color w:val="000000"/>
          <w:lang w:eastAsia="en-US"/>
        </w:rPr>
        <w:t xml:space="preserve"> (2800 µatm) </w:t>
      </w:r>
      <w:r w:rsidR="008C2481">
        <w:rPr>
          <w:rFonts w:ascii="Times" w:eastAsia="Times New Roman" w:hAnsi="Times" w:cs="Arial"/>
          <w:iCs/>
          <w:color w:val="000000"/>
          <w:lang w:eastAsia="en-US"/>
        </w:rPr>
        <w:t>instigates</w:t>
      </w:r>
      <w:r w:rsidR="006121D9">
        <w:rPr>
          <w:rFonts w:ascii="Times" w:eastAsia="Times New Roman" w:hAnsi="Times" w:cs="Arial"/>
          <w:iCs/>
          <w:color w:val="000000"/>
          <w:lang w:eastAsia="en-US"/>
        </w:rPr>
        <w:t xml:space="preserve"> an antiox</w:t>
      </w:r>
      <w:r w:rsidR="002053D6">
        <w:rPr>
          <w:rFonts w:ascii="Times" w:eastAsia="Times New Roman" w:hAnsi="Times" w:cs="Arial"/>
          <w:iCs/>
          <w:color w:val="000000"/>
          <w:lang w:eastAsia="en-US"/>
        </w:rPr>
        <w:t>idant response.  Superoxide dis</w:t>
      </w:r>
      <w:r w:rsidR="006121D9">
        <w:rPr>
          <w:rFonts w:ascii="Times" w:eastAsia="Times New Roman" w:hAnsi="Times" w:cs="Arial"/>
          <w:iCs/>
          <w:color w:val="000000"/>
          <w:lang w:eastAsia="en-US"/>
        </w:rPr>
        <w:t xml:space="preserve">mutase </w:t>
      </w:r>
      <w:r w:rsidR="00EF7B60">
        <w:rPr>
          <w:rFonts w:ascii="Times" w:eastAsia="Times New Roman" w:hAnsi="Times" w:cs="Arial"/>
          <w:iCs/>
          <w:color w:val="000000"/>
          <w:lang w:eastAsia="en-US"/>
        </w:rPr>
        <w:t>activity was significantly elevated in oysters e</w:t>
      </w:r>
      <w:r w:rsidR="00F061DB">
        <w:rPr>
          <w:rFonts w:ascii="Times" w:eastAsia="Times New Roman" w:hAnsi="Times" w:cs="Arial"/>
          <w:iCs/>
          <w:color w:val="000000"/>
          <w:lang w:eastAsia="en-US"/>
        </w:rPr>
        <w:t xml:space="preserve">xposed to the highest </w:t>
      </w:r>
      <w:r w:rsidR="00F061DB" w:rsidRPr="002053D6">
        <w:rPr>
          <w:rFonts w:ascii="Times" w:eastAsia="Times New Roman" w:hAnsi="Times" w:cs="Arial"/>
          <w:i/>
          <w:iCs/>
          <w:color w:val="000000"/>
          <w:lang w:eastAsia="en-US"/>
        </w:rPr>
        <w:t>p</w:t>
      </w:r>
      <w:r w:rsidR="00F061DB">
        <w:rPr>
          <w:rFonts w:ascii="Times" w:eastAsia="Times New Roman" w:hAnsi="Times" w:cs="Arial"/>
          <w:iCs/>
          <w:color w:val="000000"/>
          <w:lang w:eastAsia="en-US"/>
        </w:rPr>
        <w:t>CO</w:t>
      </w:r>
      <w:r w:rsidR="00F061DB" w:rsidRPr="002053D6">
        <w:rPr>
          <w:rFonts w:ascii="Times" w:eastAsia="Times New Roman" w:hAnsi="Times" w:cs="Arial"/>
          <w:iCs/>
          <w:color w:val="000000"/>
          <w:vertAlign w:val="subscript"/>
          <w:lang w:eastAsia="en-US"/>
        </w:rPr>
        <w:t>2</w:t>
      </w:r>
      <w:r w:rsidR="00EF7B60">
        <w:rPr>
          <w:rFonts w:ascii="Times" w:eastAsia="Times New Roman" w:hAnsi="Times" w:cs="Arial"/>
          <w:iCs/>
          <w:color w:val="000000"/>
          <w:lang w:eastAsia="en-US"/>
        </w:rPr>
        <w:t>, a clear sign</w:t>
      </w:r>
      <w:r w:rsidR="00F061DB">
        <w:rPr>
          <w:rFonts w:ascii="Times" w:eastAsia="Times New Roman" w:hAnsi="Times" w:cs="Arial"/>
          <w:iCs/>
          <w:color w:val="000000"/>
          <w:lang w:eastAsia="en-US"/>
        </w:rPr>
        <w:t>al</w:t>
      </w:r>
      <w:r w:rsidR="00EF7B60">
        <w:rPr>
          <w:rFonts w:ascii="Times" w:eastAsia="Times New Roman" w:hAnsi="Times" w:cs="Arial"/>
          <w:iCs/>
          <w:color w:val="000000"/>
          <w:lang w:eastAsia="en-US"/>
        </w:rPr>
        <w:t xml:space="preserve"> of oxidative stress during ocean acidification.  A similar pattern was not seen for </w:t>
      </w:r>
      <w:r w:rsidR="002053D6">
        <w:rPr>
          <w:rFonts w:ascii="Times" w:eastAsia="Times New Roman" w:hAnsi="Times" w:cs="Arial"/>
          <w:iCs/>
          <w:color w:val="000000"/>
          <w:lang w:eastAsia="en-US"/>
        </w:rPr>
        <w:t>glutathione S-transferase</w:t>
      </w:r>
      <w:r w:rsidR="00EF7B60">
        <w:rPr>
          <w:rFonts w:ascii="Times" w:eastAsia="Times New Roman" w:hAnsi="Times" w:cs="Arial"/>
          <w:iCs/>
          <w:color w:val="000000"/>
          <w:lang w:eastAsia="en-US"/>
        </w:rPr>
        <w:t xml:space="preserve"> activity, possibly due to the multifunctional nature of GST.  Even though our sample size for the 2800 µatm-exposed oysters was smaller for the GST assay versus the SOD assay (n = 2 and n = 6, respectively), there is not even a trend of increased GST activity at the highest </w:t>
      </w:r>
      <w:r w:rsidR="00EF7B60" w:rsidRPr="002053D6">
        <w:rPr>
          <w:rFonts w:ascii="Times" w:eastAsia="Times New Roman" w:hAnsi="Times" w:cs="Arial"/>
          <w:i/>
          <w:iCs/>
          <w:color w:val="000000"/>
          <w:lang w:eastAsia="en-US"/>
        </w:rPr>
        <w:t>p</w:t>
      </w:r>
      <w:r w:rsidR="00EF7B60">
        <w:rPr>
          <w:rFonts w:ascii="Times" w:eastAsia="Times New Roman" w:hAnsi="Times" w:cs="Arial"/>
          <w:iCs/>
          <w:color w:val="000000"/>
          <w:lang w:eastAsia="en-US"/>
        </w:rPr>
        <w:t>CO</w:t>
      </w:r>
      <w:r w:rsidR="00EF7B60" w:rsidRPr="002053D6">
        <w:rPr>
          <w:rFonts w:ascii="Times" w:eastAsia="Times New Roman" w:hAnsi="Times" w:cs="Arial"/>
          <w:iCs/>
          <w:color w:val="000000"/>
          <w:vertAlign w:val="subscript"/>
          <w:lang w:eastAsia="en-US"/>
        </w:rPr>
        <w:t>2</w:t>
      </w:r>
      <w:r w:rsidR="00EF7B60">
        <w:rPr>
          <w:rFonts w:ascii="Times" w:eastAsia="Times New Roman" w:hAnsi="Times" w:cs="Arial"/>
          <w:iCs/>
          <w:color w:val="000000"/>
          <w:lang w:eastAsia="en-US"/>
        </w:rPr>
        <w:t>.  Since SOD responds solely to oxidative stress its up-regulation has a clear interpretation; however, a global activity assay of the different isoforms of GST would encompass some that respond to oxidative stress and some that may respond only to contaminant exposure</w:t>
      </w:r>
      <w:r w:rsidR="008C2481">
        <w:rPr>
          <w:rFonts w:ascii="Times" w:eastAsia="Times New Roman" w:hAnsi="Times" w:cs="Arial"/>
          <w:iCs/>
          <w:color w:val="000000"/>
          <w:lang w:eastAsia="en-US"/>
        </w:rPr>
        <w:t xml:space="preserve"> (and therefore may no change in response to low pH)</w:t>
      </w:r>
      <w:r w:rsidR="00EF7B60">
        <w:rPr>
          <w:rFonts w:ascii="Times" w:eastAsia="Times New Roman" w:hAnsi="Times" w:cs="Arial"/>
          <w:iCs/>
          <w:color w:val="000000"/>
          <w:lang w:eastAsia="en-US"/>
        </w:rPr>
        <w:t xml:space="preserve">.  Alternatively, SOD and GST may function on different time scales in the oxidative stress response, but this is unlikely given that GST remains </w:t>
      </w:r>
      <w:proofErr w:type="gramStart"/>
      <w:r w:rsidR="00EF7B60">
        <w:rPr>
          <w:rFonts w:ascii="Times" w:eastAsia="Times New Roman" w:hAnsi="Times" w:cs="Arial"/>
          <w:iCs/>
          <w:color w:val="000000"/>
          <w:lang w:eastAsia="en-US"/>
        </w:rPr>
        <w:t>up-regulated</w:t>
      </w:r>
      <w:proofErr w:type="gramEnd"/>
      <w:r w:rsidR="00EF7B60">
        <w:rPr>
          <w:rFonts w:ascii="Times" w:eastAsia="Times New Roman" w:hAnsi="Times" w:cs="Arial"/>
          <w:iCs/>
          <w:color w:val="000000"/>
          <w:lang w:eastAsia="en-US"/>
        </w:rPr>
        <w:t xml:space="preserve"> after exposures to contaminants lasting multiple weeks (</w:t>
      </w:r>
      <w:r w:rsidR="00F061DB">
        <w:rPr>
          <w:rFonts w:ascii="Times" w:eastAsia="Times New Roman" w:hAnsi="Times" w:cs="Arial"/>
          <w:iCs/>
          <w:color w:val="000000"/>
          <w:lang w:eastAsia="en-US"/>
        </w:rPr>
        <w:t>Letendre et al. 2011; Boutet et al. 2004a, 2004b).</w:t>
      </w:r>
    </w:p>
    <w:p w14:paraId="40E60E97" w14:textId="2DA64F34" w:rsidR="00C85C10" w:rsidRDefault="00F061DB" w:rsidP="002053D6">
      <w:pPr>
        <w:spacing w:line="360" w:lineRule="auto"/>
        <w:rPr>
          <w:rFonts w:ascii="Times" w:eastAsia="Times New Roman" w:hAnsi="Times" w:cs="Arial"/>
          <w:iCs/>
          <w:color w:val="000000"/>
          <w:lang w:eastAsia="en-US"/>
        </w:rPr>
      </w:pPr>
      <w:r>
        <w:rPr>
          <w:rFonts w:ascii="Times" w:eastAsia="Times New Roman" w:hAnsi="Times" w:cs="Arial"/>
          <w:iCs/>
          <w:color w:val="000000"/>
          <w:lang w:eastAsia="en-US"/>
        </w:rPr>
        <w:tab/>
        <w:t xml:space="preserve">These enzyme activity results further support what other work at the gene and protein expression levels have </w:t>
      </w:r>
      <w:r w:rsidR="002053D6">
        <w:rPr>
          <w:rFonts w:ascii="Times" w:eastAsia="Times New Roman" w:hAnsi="Times" w:cs="Arial"/>
          <w:iCs/>
          <w:color w:val="000000"/>
          <w:lang w:eastAsia="en-US"/>
        </w:rPr>
        <w:t>suggested</w:t>
      </w:r>
      <w:r>
        <w:rPr>
          <w:rFonts w:ascii="Times" w:eastAsia="Times New Roman" w:hAnsi="Times" w:cs="Arial"/>
          <w:iCs/>
          <w:color w:val="000000"/>
          <w:lang w:eastAsia="en-US"/>
        </w:rPr>
        <w:t xml:space="preserve">: that exposure to elevated </w:t>
      </w:r>
      <w:r w:rsidRPr="00F061DB">
        <w:rPr>
          <w:rFonts w:ascii="Times" w:eastAsia="Times New Roman" w:hAnsi="Times" w:cs="Arial"/>
          <w:i/>
          <w:iCs/>
          <w:color w:val="000000"/>
          <w:lang w:eastAsia="en-US"/>
        </w:rPr>
        <w:t>p</w:t>
      </w:r>
      <w:r>
        <w:rPr>
          <w:rFonts w:ascii="Times" w:eastAsia="Times New Roman" w:hAnsi="Times" w:cs="Arial"/>
          <w:iCs/>
          <w:color w:val="000000"/>
          <w:lang w:eastAsia="en-US"/>
        </w:rPr>
        <w:t>CO</w:t>
      </w:r>
      <w:r w:rsidRPr="00F061DB">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triggers production of ROS leading to an up-regulation of the antioxidant response.  Enzyme activity is a definitive measure of this response where gene and protein expression are not because increased</w:t>
      </w:r>
      <w:r w:rsidR="008C2481">
        <w:rPr>
          <w:rFonts w:ascii="Times" w:eastAsia="Times New Roman" w:hAnsi="Times" w:cs="Arial"/>
          <w:iCs/>
          <w:color w:val="000000"/>
          <w:lang w:eastAsia="en-US"/>
        </w:rPr>
        <w:t xml:space="preserve"> gene/protein</w:t>
      </w:r>
      <w:r>
        <w:rPr>
          <w:rFonts w:ascii="Times" w:eastAsia="Times New Roman" w:hAnsi="Times" w:cs="Arial"/>
          <w:iCs/>
          <w:color w:val="000000"/>
          <w:lang w:eastAsia="en-US"/>
        </w:rPr>
        <w:t xml:space="preserve"> expression does not mean that a protein is functionally activated.  The exact mechanism of ROS increase remains unknown and future studies should investigate whether elevated </w:t>
      </w:r>
      <w:r w:rsidRPr="00F061DB">
        <w:rPr>
          <w:rFonts w:ascii="Times" w:eastAsia="Times New Roman" w:hAnsi="Times" w:cs="Arial"/>
          <w:i/>
          <w:iCs/>
          <w:color w:val="000000"/>
          <w:lang w:eastAsia="en-US"/>
        </w:rPr>
        <w:t>p</w:t>
      </w:r>
      <w:r>
        <w:rPr>
          <w:rFonts w:ascii="Times" w:eastAsia="Times New Roman" w:hAnsi="Times" w:cs="Arial"/>
          <w:iCs/>
          <w:color w:val="000000"/>
          <w:lang w:eastAsia="en-US"/>
        </w:rPr>
        <w:t>CO</w:t>
      </w:r>
      <w:r w:rsidRPr="00F061DB">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and subsequent increased H</w:t>
      </w:r>
      <w:r w:rsidRPr="00F061DB">
        <w:rPr>
          <w:rFonts w:ascii="Times" w:eastAsia="Times New Roman" w:hAnsi="Times" w:cs="Arial"/>
          <w:iCs/>
          <w:color w:val="000000"/>
          <w:vertAlign w:val="superscript"/>
          <w:lang w:eastAsia="en-US"/>
        </w:rPr>
        <w:t xml:space="preserve">+ </w:t>
      </w:r>
      <w:r>
        <w:rPr>
          <w:rFonts w:ascii="Times" w:eastAsia="Times New Roman" w:hAnsi="Times" w:cs="Arial"/>
          <w:iCs/>
          <w:color w:val="000000"/>
          <w:lang w:eastAsia="en-US"/>
        </w:rPr>
        <w:t xml:space="preserve">concentrations are direct causes of oxidative stress or if the stress indirectly stimulates ROS production through elevated oxidative metabolism.  It is also of interest that the moderate </w:t>
      </w:r>
      <w:r w:rsidRPr="002053D6">
        <w:rPr>
          <w:rFonts w:ascii="Times" w:eastAsia="Times New Roman" w:hAnsi="Times" w:cs="Arial"/>
          <w:i/>
          <w:iCs/>
          <w:color w:val="000000"/>
          <w:lang w:eastAsia="en-US"/>
        </w:rPr>
        <w:t>p</w:t>
      </w:r>
      <w:r>
        <w:rPr>
          <w:rFonts w:ascii="Times" w:eastAsia="Times New Roman" w:hAnsi="Times" w:cs="Arial"/>
          <w:iCs/>
          <w:color w:val="000000"/>
          <w:lang w:eastAsia="en-US"/>
        </w:rPr>
        <w:t>CO</w:t>
      </w:r>
      <w:r w:rsidRPr="002053D6">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of 10</w:t>
      </w:r>
      <w:r w:rsidR="008C2481">
        <w:rPr>
          <w:rFonts w:ascii="Times" w:eastAsia="Times New Roman" w:hAnsi="Times" w:cs="Arial"/>
          <w:iCs/>
          <w:color w:val="000000"/>
          <w:lang w:eastAsia="en-US"/>
        </w:rPr>
        <w:t>0</w:t>
      </w:r>
      <w:r>
        <w:rPr>
          <w:rFonts w:ascii="Times" w:eastAsia="Times New Roman" w:hAnsi="Times" w:cs="Arial"/>
          <w:iCs/>
          <w:color w:val="000000"/>
          <w:lang w:eastAsia="en-US"/>
        </w:rPr>
        <w:t xml:space="preserve">0 µatm does not cause even a slight elevation of antioxidant enzyme activity.  This finding may illustrate a tolerance of </w:t>
      </w:r>
      <w:r>
        <w:rPr>
          <w:rFonts w:ascii="Times" w:eastAsia="Times New Roman" w:hAnsi="Times" w:cs="Arial"/>
          <w:i/>
          <w:iCs/>
          <w:color w:val="000000"/>
          <w:lang w:eastAsia="en-US"/>
        </w:rPr>
        <w:t xml:space="preserve">C. gigas </w:t>
      </w:r>
      <w:r>
        <w:rPr>
          <w:rFonts w:ascii="Times" w:eastAsia="Times New Roman" w:hAnsi="Times" w:cs="Arial"/>
          <w:iCs/>
          <w:color w:val="000000"/>
          <w:lang w:eastAsia="en-US"/>
        </w:rPr>
        <w:t xml:space="preserve">to moderately elevated </w:t>
      </w:r>
      <w:r w:rsidRPr="002053D6">
        <w:rPr>
          <w:rFonts w:ascii="Times" w:eastAsia="Times New Roman" w:hAnsi="Times" w:cs="Arial"/>
          <w:i/>
          <w:iCs/>
          <w:color w:val="000000"/>
          <w:lang w:eastAsia="en-US"/>
        </w:rPr>
        <w:t>p</w:t>
      </w:r>
      <w:r>
        <w:rPr>
          <w:rFonts w:ascii="Times" w:eastAsia="Times New Roman" w:hAnsi="Times" w:cs="Arial"/>
          <w:iCs/>
          <w:color w:val="000000"/>
          <w:lang w:eastAsia="en-US"/>
        </w:rPr>
        <w:t>CO</w:t>
      </w:r>
      <w:r w:rsidRPr="002053D6">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which </w:t>
      </w:r>
      <w:r w:rsidR="002053D6">
        <w:rPr>
          <w:rFonts w:ascii="Times" w:eastAsia="Times New Roman" w:hAnsi="Times" w:cs="Arial"/>
          <w:iCs/>
          <w:color w:val="000000"/>
          <w:lang w:eastAsia="en-US"/>
        </w:rPr>
        <w:t>is consistent with a species that inhabits the intertidal zone where there are frequent fluctuations in pH.</w:t>
      </w:r>
    </w:p>
    <w:p w14:paraId="061220E5" w14:textId="77777777" w:rsidR="00CB5AAE" w:rsidRDefault="00CB5AAE" w:rsidP="002053D6">
      <w:pPr>
        <w:spacing w:line="360" w:lineRule="auto"/>
        <w:rPr>
          <w:rFonts w:ascii="Times" w:eastAsia="Times New Roman" w:hAnsi="Times" w:cs="Arial"/>
          <w:iCs/>
          <w:color w:val="000000"/>
          <w:lang w:eastAsia="en-US"/>
        </w:rPr>
      </w:pPr>
    </w:p>
    <w:p w14:paraId="00849B88" w14:textId="50929F7A" w:rsidR="00CB5AAE" w:rsidRDefault="00CB5AAE" w:rsidP="00CB5AAE">
      <w:pPr>
        <w:pStyle w:val="Heading2"/>
        <w:rPr>
          <w:lang w:eastAsia="en-US"/>
        </w:rPr>
      </w:pPr>
      <w:bookmarkStart w:id="95" w:name="_Toc252110047"/>
      <w:r>
        <w:rPr>
          <w:lang w:eastAsia="en-US"/>
        </w:rPr>
        <w:t>Supplementary Information</w:t>
      </w:r>
      <w:bookmarkEnd w:id="95"/>
    </w:p>
    <w:p w14:paraId="7A4F5591" w14:textId="36D6743E" w:rsidR="00CB5AAE" w:rsidRDefault="00CB5AAE" w:rsidP="002053D6">
      <w:pPr>
        <w:spacing w:line="360" w:lineRule="auto"/>
        <w:rPr>
          <w:rFonts w:ascii="Times" w:eastAsia="Times New Roman" w:hAnsi="Times" w:cs="Arial"/>
          <w:iCs/>
          <w:color w:val="000000"/>
          <w:lang w:eastAsia="en-US"/>
        </w:rPr>
      </w:pPr>
      <w:r>
        <w:rPr>
          <w:rFonts w:ascii="Times" w:eastAsia="Times New Roman" w:hAnsi="Times" w:cs="Arial"/>
          <w:iCs/>
          <w:noProof/>
          <w:color w:val="000000"/>
          <w:lang w:eastAsia="en-US"/>
        </w:rPr>
        <w:drawing>
          <wp:inline distT="0" distB="0" distL="0" distR="0" wp14:anchorId="5C3635C7" wp14:editId="46122A1D">
            <wp:extent cx="5080635" cy="25467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A supp figure.jpg"/>
                    <pic:cNvPicPr/>
                  </pic:nvPicPr>
                  <pic:blipFill>
                    <a:blip r:embed="rId37">
                      <a:extLst>
                        <a:ext uri="{28A0092B-C50C-407E-A947-70E740481C1C}">
                          <a14:useLocalDpi xmlns:a14="http://schemas.microsoft.com/office/drawing/2010/main" val="0"/>
                        </a:ext>
                      </a:extLst>
                    </a:blip>
                    <a:stretch>
                      <a:fillRect/>
                    </a:stretch>
                  </pic:blipFill>
                  <pic:spPr>
                    <a:xfrm>
                      <a:off x="0" y="0"/>
                      <a:ext cx="5080635" cy="2546786"/>
                    </a:xfrm>
                    <a:prstGeom prst="rect">
                      <a:avLst/>
                    </a:prstGeom>
                  </pic:spPr>
                </pic:pic>
              </a:graphicData>
            </a:graphic>
          </wp:inline>
        </w:drawing>
      </w:r>
    </w:p>
    <w:p w14:paraId="41E66E4E" w14:textId="40228306" w:rsidR="00CB5AAE" w:rsidRDefault="00CB5AAE" w:rsidP="00CB5AAE">
      <w:pPr>
        <w:rPr>
          <w:rFonts w:ascii="Times" w:eastAsia="Times New Roman" w:hAnsi="Times" w:cs="Arial"/>
          <w:iCs/>
          <w:color w:val="000000"/>
          <w:lang w:eastAsia="en-US"/>
        </w:rPr>
      </w:pPr>
      <w:proofErr w:type="gramStart"/>
      <w:r>
        <w:rPr>
          <w:rFonts w:ascii="Times" w:eastAsia="Times New Roman" w:hAnsi="Times" w:cs="Arial"/>
          <w:iCs/>
          <w:color w:val="000000"/>
          <w:lang w:eastAsia="en-US"/>
        </w:rPr>
        <w:t>Supplementary Figure AppA.S1.</w:t>
      </w:r>
      <w:proofErr w:type="gramEnd"/>
      <w:r>
        <w:rPr>
          <w:rFonts w:ascii="Times" w:eastAsia="Times New Roman" w:hAnsi="Times" w:cs="Arial"/>
          <w:iCs/>
          <w:color w:val="000000"/>
          <w:lang w:eastAsia="en-US"/>
        </w:rPr>
        <w:t xml:space="preserve"> Standard curve for the SOD standards (blue points) and percent inhibition vs. the natural log of the SOD concentration (purple points) with line of best fit used to calculate percent inhibition for samples of unknown concentrations (black line).</w:t>
      </w:r>
    </w:p>
    <w:p w14:paraId="54CA96EA" w14:textId="7B0C6399" w:rsidR="00C85C10" w:rsidRDefault="00C85C10" w:rsidP="00C85C10">
      <w:pPr>
        <w:pStyle w:val="Heading2"/>
        <w:rPr>
          <w:lang w:eastAsia="en-US"/>
        </w:rPr>
      </w:pPr>
      <w:bookmarkStart w:id="96" w:name="_Toc252110048"/>
      <w:r>
        <w:rPr>
          <w:lang w:eastAsia="en-US"/>
        </w:rPr>
        <w:t>Works Cited</w:t>
      </w:r>
      <w:bookmarkEnd w:id="96"/>
    </w:p>
    <w:p w14:paraId="365F8DF2" w14:textId="77777777" w:rsidR="00CA19DA" w:rsidRPr="00F4261D" w:rsidRDefault="00CA19DA" w:rsidP="00CA19DA">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sidRPr="00F4261D">
        <w:rPr>
          <w:rFonts w:ascii="Cambria" w:hAnsi="Cambria"/>
          <w:noProof/>
          <w:sz w:val="24"/>
        </w:rPr>
        <w:t xml:space="preserve">Abele, D., Philipp, E., Gonzalez, P. M., &amp; Puntarulo, S. (2007). Marine invertebrate mitochondria and oxidative stress. </w:t>
      </w:r>
      <w:r w:rsidRPr="00F4261D">
        <w:rPr>
          <w:rFonts w:ascii="Cambria" w:hAnsi="Cambria"/>
          <w:i/>
          <w:iCs/>
          <w:noProof/>
          <w:sz w:val="24"/>
        </w:rPr>
        <w:t>Frontiers in Bioscience</w:t>
      </w:r>
      <w:r w:rsidRPr="00F4261D">
        <w:rPr>
          <w:rFonts w:ascii="Cambria" w:hAnsi="Cambria"/>
          <w:noProof/>
          <w:sz w:val="24"/>
        </w:rPr>
        <w:t xml:space="preserve">, </w:t>
      </w:r>
      <w:r w:rsidRPr="00F4261D">
        <w:rPr>
          <w:rFonts w:ascii="Cambria" w:hAnsi="Cambria"/>
          <w:i/>
          <w:iCs/>
          <w:noProof/>
          <w:sz w:val="24"/>
        </w:rPr>
        <w:t>12</w:t>
      </w:r>
      <w:r w:rsidRPr="00F4261D">
        <w:rPr>
          <w:rFonts w:ascii="Cambria" w:hAnsi="Cambria"/>
          <w:noProof/>
          <w:sz w:val="24"/>
        </w:rPr>
        <w:t>, 933–946.</w:t>
      </w:r>
    </w:p>
    <w:p w14:paraId="0AD551A9" w14:textId="5480C729"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Berhane, K., Widersten, M., Engström, a, Kozarich, J. W., &amp; Mannervik, B. (1994). Detoxication of base propenals and other alpha, beta-unsaturated aldehyde products of radical reactions and lipid peroxidation by human glutathione transferases. </w:t>
      </w:r>
      <w:r w:rsidRPr="00F4261D">
        <w:rPr>
          <w:rFonts w:ascii="Cambria" w:hAnsi="Cambria"/>
          <w:i/>
          <w:iCs/>
          <w:noProof/>
          <w:sz w:val="24"/>
        </w:rPr>
        <w:t>Proceedings of the National Academy of Sciences of the United States of America</w:t>
      </w:r>
      <w:r w:rsidRPr="00F4261D">
        <w:rPr>
          <w:rFonts w:ascii="Cambria" w:hAnsi="Cambria"/>
          <w:noProof/>
          <w:sz w:val="24"/>
        </w:rPr>
        <w:t xml:space="preserve">, </w:t>
      </w:r>
      <w:r w:rsidRPr="00F4261D">
        <w:rPr>
          <w:rFonts w:ascii="Cambria" w:hAnsi="Cambria"/>
          <w:i/>
          <w:iCs/>
          <w:noProof/>
          <w:sz w:val="24"/>
        </w:rPr>
        <w:t>91</w:t>
      </w:r>
      <w:r>
        <w:rPr>
          <w:rFonts w:ascii="Cambria" w:hAnsi="Cambria"/>
          <w:noProof/>
          <w:sz w:val="24"/>
        </w:rPr>
        <w:t>(4), 1480–4.</w:t>
      </w:r>
    </w:p>
    <w:p w14:paraId="34AA8495"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Boutet, I., Tanguy, a., &amp; Moraga, D. (2004). Characterisation and expression of four mRNA sequences encoding glutathione S-transferases pi, mu, omega and sigma classes in the Pacific oyster Crassostrea gigas exposed to hydrocarbons and pesticides. </w:t>
      </w:r>
      <w:r w:rsidRPr="00F4261D">
        <w:rPr>
          <w:rFonts w:ascii="Cambria" w:hAnsi="Cambria"/>
          <w:i/>
          <w:iCs/>
          <w:noProof/>
          <w:sz w:val="24"/>
        </w:rPr>
        <w:t>Marine Biology</w:t>
      </w:r>
      <w:r w:rsidRPr="00F4261D">
        <w:rPr>
          <w:rFonts w:ascii="Cambria" w:hAnsi="Cambria"/>
          <w:noProof/>
          <w:sz w:val="24"/>
        </w:rPr>
        <w:t xml:space="preserve">, </w:t>
      </w:r>
      <w:r w:rsidRPr="00F4261D">
        <w:rPr>
          <w:rFonts w:ascii="Cambria" w:hAnsi="Cambria"/>
          <w:i/>
          <w:iCs/>
          <w:noProof/>
          <w:sz w:val="24"/>
        </w:rPr>
        <w:t>146</w:t>
      </w:r>
      <w:r w:rsidRPr="00F4261D">
        <w:rPr>
          <w:rFonts w:ascii="Cambria" w:hAnsi="Cambria"/>
          <w:noProof/>
          <w:sz w:val="24"/>
        </w:rPr>
        <w:t>(1), 53–64. doi:10.1007/s00227-004-1423-6</w:t>
      </w:r>
    </w:p>
    <w:p w14:paraId="0CAD06D9"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Boutet, Isabelle, Tanguy, A., &amp; Moraga, D. (2004). Response of the Pacific oyster Crassostrea gigas to hydrocarbon contamination under experimental conditions. </w:t>
      </w:r>
      <w:r w:rsidRPr="00F4261D">
        <w:rPr>
          <w:rFonts w:ascii="Cambria" w:hAnsi="Cambria"/>
          <w:i/>
          <w:iCs/>
          <w:noProof/>
          <w:sz w:val="24"/>
        </w:rPr>
        <w:t>Gene</w:t>
      </w:r>
      <w:r w:rsidRPr="00F4261D">
        <w:rPr>
          <w:rFonts w:ascii="Cambria" w:hAnsi="Cambria"/>
          <w:noProof/>
          <w:sz w:val="24"/>
        </w:rPr>
        <w:t xml:space="preserve">, </w:t>
      </w:r>
      <w:r w:rsidRPr="00F4261D">
        <w:rPr>
          <w:rFonts w:ascii="Cambria" w:hAnsi="Cambria"/>
          <w:i/>
          <w:iCs/>
          <w:noProof/>
          <w:sz w:val="24"/>
        </w:rPr>
        <w:t>329</w:t>
      </w:r>
      <w:r w:rsidRPr="00F4261D">
        <w:rPr>
          <w:rFonts w:ascii="Cambria" w:hAnsi="Cambria"/>
          <w:noProof/>
          <w:sz w:val="24"/>
        </w:rPr>
        <w:t>, 147–57. doi:10.1016/j.gene.2003.12.027</w:t>
      </w:r>
    </w:p>
    <w:p w14:paraId="64EC6794"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Clark, M. S., Thorne, M. a S., Amaral, A., Vieira, F., Batista, F. M., Reis, J., &amp; Power, D. M. (2013). Identification of molecular and physiological responses to chronic environmental challenge in an invasive species: the Pacific oyster, Crassostrea gigas. </w:t>
      </w:r>
      <w:r w:rsidRPr="00F4261D">
        <w:rPr>
          <w:rFonts w:ascii="Cambria" w:hAnsi="Cambria"/>
          <w:i/>
          <w:iCs/>
          <w:noProof/>
          <w:sz w:val="24"/>
        </w:rPr>
        <w:t>Ecology and evolution</w:t>
      </w:r>
      <w:r w:rsidRPr="00F4261D">
        <w:rPr>
          <w:rFonts w:ascii="Cambria" w:hAnsi="Cambria"/>
          <w:noProof/>
          <w:sz w:val="24"/>
        </w:rPr>
        <w:t xml:space="preserve">, </w:t>
      </w:r>
      <w:r w:rsidRPr="00F4261D">
        <w:rPr>
          <w:rFonts w:ascii="Cambria" w:hAnsi="Cambria"/>
          <w:i/>
          <w:iCs/>
          <w:noProof/>
          <w:sz w:val="24"/>
        </w:rPr>
        <w:t>3</w:t>
      </w:r>
      <w:r w:rsidRPr="00F4261D">
        <w:rPr>
          <w:rFonts w:ascii="Cambria" w:hAnsi="Cambria"/>
          <w:noProof/>
          <w:sz w:val="24"/>
        </w:rPr>
        <w:t>(10), 3283–97. doi:10.1002/ece3.719</w:t>
      </w:r>
    </w:p>
    <w:p w14:paraId="5C4E942C"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Daniel, V. (1993). Glutathione S-Transferases: Gene Structure and Regulation of Expression. </w:t>
      </w:r>
      <w:r w:rsidRPr="00F4261D">
        <w:rPr>
          <w:rFonts w:ascii="Cambria" w:hAnsi="Cambria"/>
          <w:i/>
          <w:iCs/>
          <w:noProof/>
          <w:sz w:val="24"/>
        </w:rPr>
        <w:t>Critical Reviews in Biochemistry and Molecular Biology</w:t>
      </w:r>
      <w:r w:rsidRPr="00F4261D">
        <w:rPr>
          <w:rFonts w:ascii="Cambria" w:hAnsi="Cambria"/>
          <w:noProof/>
          <w:sz w:val="24"/>
        </w:rPr>
        <w:t xml:space="preserve">, </w:t>
      </w:r>
      <w:r w:rsidRPr="00F4261D">
        <w:rPr>
          <w:rFonts w:ascii="Cambria" w:hAnsi="Cambria"/>
          <w:i/>
          <w:iCs/>
          <w:noProof/>
          <w:sz w:val="24"/>
        </w:rPr>
        <w:t>28</w:t>
      </w:r>
      <w:r w:rsidRPr="00F4261D">
        <w:rPr>
          <w:rFonts w:ascii="Cambria" w:hAnsi="Cambria"/>
          <w:noProof/>
          <w:sz w:val="24"/>
        </w:rPr>
        <w:t>(3), 173–207.</w:t>
      </w:r>
    </w:p>
    <w:p w14:paraId="4D973C0B"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Donaghy, L., Kraffe, E., Le Goïc, N., Lambert, C., Volety, A. K., &amp; Soudant, P. (2012). Reactive oxygen species in unstimulated hemocytes of the pacific oyster Crassostrea gigas: a mitochondrial involvement. </w:t>
      </w:r>
      <w:r w:rsidRPr="00F4261D">
        <w:rPr>
          <w:rFonts w:ascii="Cambria" w:hAnsi="Cambria"/>
          <w:i/>
          <w:iCs/>
          <w:noProof/>
          <w:sz w:val="24"/>
        </w:rPr>
        <w:t>PloS one</w:t>
      </w:r>
      <w:r w:rsidRPr="00F4261D">
        <w:rPr>
          <w:rFonts w:ascii="Cambria" w:hAnsi="Cambria"/>
          <w:noProof/>
          <w:sz w:val="24"/>
        </w:rPr>
        <w:t xml:space="preserve">, </w:t>
      </w:r>
      <w:r w:rsidRPr="00F4261D">
        <w:rPr>
          <w:rFonts w:ascii="Cambria" w:hAnsi="Cambria"/>
          <w:i/>
          <w:iCs/>
          <w:noProof/>
          <w:sz w:val="24"/>
        </w:rPr>
        <w:t>7</w:t>
      </w:r>
      <w:r w:rsidRPr="00F4261D">
        <w:rPr>
          <w:rFonts w:ascii="Cambria" w:hAnsi="Cambria"/>
          <w:noProof/>
          <w:sz w:val="24"/>
        </w:rPr>
        <w:t>(10), e46594. doi:10.1371/journal.pone.0046594</w:t>
      </w:r>
    </w:p>
    <w:p w14:paraId="3DE74697"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Gagnaire, B., Gay, M., Huvet, A., Daniel, J.-Y., Saulnier, D., &amp; Renault, T. (2007). Combination of a pesticide exposure and a bacterial challenge: in vivo effects on immune response of Pacific oyster, Crassostrea gigas (Thunberg). </w:t>
      </w:r>
      <w:r w:rsidRPr="00F4261D">
        <w:rPr>
          <w:rFonts w:ascii="Cambria" w:hAnsi="Cambria"/>
          <w:i/>
          <w:iCs/>
          <w:noProof/>
          <w:sz w:val="24"/>
        </w:rPr>
        <w:t>Aquatic toxicology (Amsterdam, Netherlands)</w:t>
      </w:r>
      <w:r w:rsidRPr="00F4261D">
        <w:rPr>
          <w:rFonts w:ascii="Cambria" w:hAnsi="Cambria"/>
          <w:noProof/>
          <w:sz w:val="24"/>
        </w:rPr>
        <w:t xml:space="preserve">, </w:t>
      </w:r>
      <w:r w:rsidRPr="00F4261D">
        <w:rPr>
          <w:rFonts w:ascii="Cambria" w:hAnsi="Cambria"/>
          <w:i/>
          <w:iCs/>
          <w:noProof/>
          <w:sz w:val="24"/>
        </w:rPr>
        <w:t>84</w:t>
      </w:r>
      <w:r w:rsidRPr="00F4261D">
        <w:rPr>
          <w:rFonts w:ascii="Cambria" w:hAnsi="Cambria"/>
          <w:noProof/>
          <w:sz w:val="24"/>
        </w:rPr>
        <w:t>(1), 92–102. doi:10.1016/j.aquatox.2007.06.002</w:t>
      </w:r>
    </w:p>
    <w:p w14:paraId="6C8BEB77"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Gonzalez, M., Romestand, B., Fievet, J., Huvet, A., Lebart, M.-C., Gueguen, Y., &amp; Bachère, E. (2005). Evidence in oyster of a plasma extracellular superoxide dismutase which binds LPS. </w:t>
      </w:r>
      <w:r w:rsidRPr="00F4261D">
        <w:rPr>
          <w:rFonts w:ascii="Cambria" w:hAnsi="Cambria"/>
          <w:i/>
          <w:iCs/>
          <w:noProof/>
          <w:sz w:val="24"/>
        </w:rPr>
        <w:t>Biochemical and biophysical research communications</w:t>
      </w:r>
      <w:r w:rsidRPr="00F4261D">
        <w:rPr>
          <w:rFonts w:ascii="Cambria" w:hAnsi="Cambria"/>
          <w:noProof/>
          <w:sz w:val="24"/>
        </w:rPr>
        <w:t xml:space="preserve">, </w:t>
      </w:r>
      <w:r w:rsidRPr="00F4261D">
        <w:rPr>
          <w:rFonts w:ascii="Cambria" w:hAnsi="Cambria"/>
          <w:i/>
          <w:iCs/>
          <w:noProof/>
          <w:sz w:val="24"/>
        </w:rPr>
        <w:t>338</w:t>
      </w:r>
      <w:r w:rsidRPr="00F4261D">
        <w:rPr>
          <w:rFonts w:ascii="Cambria" w:hAnsi="Cambria"/>
          <w:noProof/>
          <w:sz w:val="24"/>
        </w:rPr>
        <w:t>(2), 1089–97. doi:10.1016/j.bbrc.2005.10.075</w:t>
      </w:r>
    </w:p>
    <w:p w14:paraId="4ED5218D"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Guévélou, E., Huvet, A., Galindo-Sánchez, C. E., Milan, M., Quillien, V., Daniel, J.-Y., … Corporeau, C. (2013). Sex-specific regulation of AMP-activated protein kinase (AMPK) in the Pacific oyster Crassostrea gigas. </w:t>
      </w:r>
      <w:r w:rsidRPr="00F4261D">
        <w:rPr>
          <w:rFonts w:ascii="Cambria" w:hAnsi="Cambria"/>
          <w:i/>
          <w:iCs/>
          <w:noProof/>
          <w:sz w:val="24"/>
        </w:rPr>
        <w:t>Biology of reproduction</w:t>
      </w:r>
      <w:r w:rsidRPr="00F4261D">
        <w:rPr>
          <w:rFonts w:ascii="Cambria" w:hAnsi="Cambria"/>
          <w:noProof/>
          <w:sz w:val="24"/>
        </w:rPr>
        <w:t xml:space="preserve">, </w:t>
      </w:r>
      <w:r w:rsidRPr="00F4261D">
        <w:rPr>
          <w:rFonts w:ascii="Cambria" w:hAnsi="Cambria"/>
          <w:i/>
          <w:iCs/>
          <w:noProof/>
          <w:sz w:val="24"/>
        </w:rPr>
        <w:t>89</w:t>
      </w:r>
      <w:r w:rsidRPr="00F4261D">
        <w:rPr>
          <w:rFonts w:ascii="Cambria" w:hAnsi="Cambria"/>
          <w:noProof/>
          <w:sz w:val="24"/>
        </w:rPr>
        <w:t>(4), 100. doi:10.1095/biolreprod.113.109728</w:t>
      </w:r>
    </w:p>
    <w:p w14:paraId="6174F8A9"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Jo, P. G., Choi, Y. K., &amp; Choi, C. Y. (2008). Cloning and mRNA expression of antioxidant enzymes in the Pacific oyster, Crassostrea gigas in response to cadmium exposure. </w:t>
      </w:r>
      <w:r w:rsidRPr="00F4261D">
        <w:rPr>
          <w:rFonts w:ascii="Cambria" w:hAnsi="Cambria"/>
          <w:i/>
          <w:iCs/>
          <w:noProof/>
          <w:sz w:val="24"/>
        </w:rPr>
        <w:t>Comparative biochemistry and physiology. Toxicology &amp; pharmacology : CBP</w:t>
      </w:r>
      <w:r w:rsidRPr="00F4261D">
        <w:rPr>
          <w:rFonts w:ascii="Cambria" w:hAnsi="Cambria"/>
          <w:noProof/>
          <w:sz w:val="24"/>
        </w:rPr>
        <w:t xml:space="preserve">, </w:t>
      </w:r>
      <w:r w:rsidRPr="00F4261D">
        <w:rPr>
          <w:rFonts w:ascii="Cambria" w:hAnsi="Cambria"/>
          <w:i/>
          <w:iCs/>
          <w:noProof/>
          <w:sz w:val="24"/>
        </w:rPr>
        <w:t>147</w:t>
      </w:r>
      <w:r w:rsidRPr="00F4261D">
        <w:rPr>
          <w:rFonts w:ascii="Cambria" w:hAnsi="Cambria"/>
          <w:noProof/>
          <w:sz w:val="24"/>
        </w:rPr>
        <w:t>(4), 460–9. doi:10.1016/j.cbpc.2008.02.001</w:t>
      </w:r>
    </w:p>
    <w:p w14:paraId="5F744E73"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Kaniewska, P., Campbell, P. R., Kline, D. I., Rodriguez-Lanetty, M., Miller, D. J., Dove, S., &amp; Hoegh-Guldberg, O. (2012). Major cellular and physiological impacts of ocean acidification on a reef building coral. </w:t>
      </w:r>
      <w:r w:rsidRPr="00F4261D">
        <w:rPr>
          <w:rFonts w:ascii="Cambria" w:hAnsi="Cambria"/>
          <w:i/>
          <w:iCs/>
          <w:noProof/>
          <w:sz w:val="24"/>
        </w:rPr>
        <w:t>PloS one</w:t>
      </w:r>
      <w:r w:rsidRPr="00F4261D">
        <w:rPr>
          <w:rFonts w:ascii="Cambria" w:hAnsi="Cambria"/>
          <w:noProof/>
          <w:sz w:val="24"/>
        </w:rPr>
        <w:t xml:space="preserve">, </w:t>
      </w:r>
      <w:r w:rsidRPr="00F4261D">
        <w:rPr>
          <w:rFonts w:ascii="Cambria" w:hAnsi="Cambria"/>
          <w:i/>
          <w:iCs/>
          <w:noProof/>
          <w:sz w:val="24"/>
        </w:rPr>
        <w:t>7</w:t>
      </w:r>
      <w:r w:rsidRPr="00F4261D">
        <w:rPr>
          <w:rFonts w:ascii="Cambria" w:hAnsi="Cambria"/>
          <w:noProof/>
          <w:sz w:val="24"/>
        </w:rPr>
        <w:t>(4), e34659. doi:10.1371/journal.pone.0034659</w:t>
      </w:r>
    </w:p>
    <w:p w14:paraId="0BF27091"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Leaver, M. J., &amp; George, S. G. (1996). Three repeated glutathione S-transferase genes from a marine fish, the plaice (Pleuronectes platessa). </w:t>
      </w:r>
      <w:r w:rsidRPr="00F4261D">
        <w:rPr>
          <w:rFonts w:ascii="Cambria" w:hAnsi="Cambria"/>
          <w:i/>
          <w:iCs/>
          <w:noProof/>
          <w:sz w:val="24"/>
        </w:rPr>
        <w:t>Marine Environmental Research</w:t>
      </w:r>
      <w:r w:rsidRPr="00F4261D">
        <w:rPr>
          <w:rFonts w:ascii="Cambria" w:hAnsi="Cambria"/>
          <w:noProof/>
          <w:sz w:val="24"/>
        </w:rPr>
        <w:t xml:space="preserve">, </w:t>
      </w:r>
      <w:r w:rsidRPr="00F4261D">
        <w:rPr>
          <w:rFonts w:ascii="Cambria" w:hAnsi="Cambria"/>
          <w:i/>
          <w:iCs/>
          <w:noProof/>
          <w:sz w:val="24"/>
        </w:rPr>
        <w:t>42</w:t>
      </w:r>
      <w:r w:rsidRPr="00F4261D">
        <w:rPr>
          <w:rFonts w:ascii="Cambria" w:hAnsi="Cambria"/>
          <w:noProof/>
          <w:sz w:val="24"/>
        </w:rPr>
        <w:t>(1-4), 19–23. doi:10.1016/0141-1136(95)00080-1</w:t>
      </w:r>
    </w:p>
    <w:p w14:paraId="6ED51588"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Letendre, J., Dupont-Rouzeyrol, M., Hanquet, A.-C., Durand, F., Budzinski, H., Chan, P., … Rocher, B. (2011). Impact of toxicant exposure on the proteomic response to intertidal condition in Mytilus edulis. </w:t>
      </w:r>
      <w:r w:rsidRPr="00F4261D">
        <w:rPr>
          <w:rFonts w:ascii="Cambria" w:hAnsi="Cambria"/>
          <w:i/>
          <w:iCs/>
          <w:noProof/>
          <w:sz w:val="24"/>
        </w:rPr>
        <w:t>Comparative biochemistry and physiology. Part D, Genomics &amp; proteomics</w:t>
      </w:r>
      <w:r w:rsidRPr="00F4261D">
        <w:rPr>
          <w:rFonts w:ascii="Cambria" w:hAnsi="Cambria"/>
          <w:noProof/>
          <w:sz w:val="24"/>
        </w:rPr>
        <w:t xml:space="preserve">, </w:t>
      </w:r>
      <w:r w:rsidRPr="00F4261D">
        <w:rPr>
          <w:rFonts w:ascii="Cambria" w:hAnsi="Cambria"/>
          <w:i/>
          <w:iCs/>
          <w:noProof/>
          <w:sz w:val="24"/>
        </w:rPr>
        <w:t>6</w:t>
      </w:r>
      <w:r w:rsidRPr="00F4261D">
        <w:rPr>
          <w:rFonts w:ascii="Cambria" w:hAnsi="Cambria"/>
          <w:noProof/>
          <w:sz w:val="24"/>
        </w:rPr>
        <w:t>(4), 357–69. doi:10.1016/j.cbd.2011.08.002</w:t>
      </w:r>
    </w:p>
    <w:p w14:paraId="7FA7FEB5"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Malécot, M., Guével, B., Pineau, C., Holbech, B. F., Bormans, M., &amp; Wiegand, C. (2013). Specific proteomic response of Unio pictorum mussel to a mixture of glyphosate and microcystin-LR. </w:t>
      </w:r>
      <w:r w:rsidRPr="00F4261D">
        <w:rPr>
          <w:rFonts w:ascii="Cambria" w:hAnsi="Cambria"/>
          <w:i/>
          <w:iCs/>
          <w:noProof/>
          <w:sz w:val="24"/>
        </w:rPr>
        <w:t>Journal of proteome research</w:t>
      </w:r>
      <w:r w:rsidRPr="00F4261D">
        <w:rPr>
          <w:rFonts w:ascii="Cambria" w:hAnsi="Cambria"/>
          <w:noProof/>
          <w:sz w:val="24"/>
        </w:rPr>
        <w:t xml:space="preserve">, </w:t>
      </w:r>
      <w:r w:rsidRPr="00F4261D">
        <w:rPr>
          <w:rFonts w:ascii="Cambria" w:hAnsi="Cambria"/>
          <w:i/>
          <w:iCs/>
          <w:noProof/>
          <w:sz w:val="24"/>
        </w:rPr>
        <w:t>12</w:t>
      </w:r>
      <w:r w:rsidRPr="00F4261D">
        <w:rPr>
          <w:rFonts w:ascii="Cambria" w:hAnsi="Cambria"/>
          <w:noProof/>
          <w:sz w:val="24"/>
        </w:rPr>
        <w:t>(11), 5281–92. doi:10.1021/pr4006316</w:t>
      </w:r>
    </w:p>
    <w:p w14:paraId="6AE37324"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Matoo, O. B., Ivanina, A. V, Ullstad, C., Beniash, E., &amp; Sokolova, I. M. (2013). Interactive effects of elevated temperature and CO(2) levels on metabolism and oxidative stress in two common marine bivalves (Crassostrea virginica and Mercenaria mercenaria). </w:t>
      </w:r>
      <w:r w:rsidRPr="00F4261D">
        <w:rPr>
          <w:rFonts w:ascii="Cambria" w:hAnsi="Cambria"/>
          <w:i/>
          <w:iCs/>
          <w:noProof/>
          <w:sz w:val="24"/>
        </w:rPr>
        <w:t>Comparative biochemistry and physiology. Part A, Molecular &amp; integrative physiology</w:t>
      </w:r>
      <w:r w:rsidRPr="00F4261D">
        <w:rPr>
          <w:rFonts w:ascii="Cambria" w:hAnsi="Cambria"/>
          <w:noProof/>
          <w:sz w:val="24"/>
        </w:rPr>
        <w:t xml:space="preserve">, </w:t>
      </w:r>
      <w:r w:rsidRPr="00F4261D">
        <w:rPr>
          <w:rFonts w:ascii="Cambria" w:hAnsi="Cambria"/>
          <w:i/>
          <w:iCs/>
          <w:noProof/>
          <w:sz w:val="24"/>
        </w:rPr>
        <w:t>164</w:t>
      </w:r>
      <w:r w:rsidRPr="00F4261D">
        <w:rPr>
          <w:rFonts w:ascii="Cambria" w:hAnsi="Cambria"/>
          <w:noProof/>
          <w:sz w:val="24"/>
        </w:rPr>
        <w:t>(4), 545–53. doi:10.1016/j.cbpa.2012.12.025</w:t>
      </w:r>
    </w:p>
    <w:p w14:paraId="32C522FE"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Mohanty, P., Hamouda, W., Garg, R., Aljada, A., Ghanim, H., &amp; Dandona, P. (2000). Glucose challenge stimulates reactive oxygen species (ROS) generation by leucocytes. </w:t>
      </w:r>
      <w:r w:rsidRPr="00F4261D">
        <w:rPr>
          <w:rFonts w:ascii="Cambria" w:hAnsi="Cambria"/>
          <w:i/>
          <w:iCs/>
          <w:noProof/>
          <w:sz w:val="24"/>
        </w:rPr>
        <w:t>The Journal of Clinical Endocrinology and Metabolism</w:t>
      </w:r>
      <w:r w:rsidRPr="00F4261D">
        <w:rPr>
          <w:rFonts w:ascii="Cambria" w:hAnsi="Cambria"/>
          <w:noProof/>
          <w:sz w:val="24"/>
        </w:rPr>
        <w:t xml:space="preserve">, </w:t>
      </w:r>
      <w:r w:rsidRPr="00F4261D">
        <w:rPr>
          <w:rFonts w:ascii="Cambria" w:hAnsi="Cambria"/>
          <w:i/>
          <w:iCs/>
          <w:noProof/>
          <w:sz w:val="24"/>
        </w:rPr>
        <w:t>85</w:t>
      </w:r>
      <w:r w:rsidRPr="00F4261D">
        <w:rPr>
          <w:rFonts w:ascii="Cambria" w:hAnsi="Cambria"/>
          <w:noProof/>
          <w:sz w:val="24"/>
        </w:rPr>
        <w:t>(8), 2970–2973.</w:t>
      </w:r>
    </w:p>
    <w:p w14:paraId="4FDC27F0"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Nakamura, Y., Ohigashi, H., Masuda, S., Murakami, A., Morimitsu, Y., Kawamoto, Y., … Uchida, K. (2000). Redox Regulation of Glutathione S -Transferase Induction by Benzyl Isothiocyanate : Correlation of Enzyme Induction with the Formation of Reactive Oxygen Intermediates Advances in Brief Redox Regulation of Glutathione S -Transferase Induction by Benzyl Is. </w:t>
      </w:r>
      <w:r w:rsidRPr="00F4261D">
        <w:rPr>
          <w:rFonts w:ascii="Cambria" w:hAnsi="Cambria"/>
          <w:i/>
          <w:iCs/>
          <w:noProof/>
          <w:sz w:val="24"/>
        </w:rPr>
        <w:t>Cancer Research</w:t>
      </w:r>
      <w:r w:rsidRPr="00F4261D">
        <w:rPr>
          <w:rFonts w:ascii="Cambria" w:hAnsi="Cambria"/>
          <w:noProof/>
          <w:sz w:val="24"/>
        </w:rPr>
        <w:t xml:space="preserve">, </w:t>
      </w:r>
      <w:r w:rsidRPr="00F4261D">
        <w:rPr>
          <w:rFonts w:ascii="Cambria" w:hAnsi="Cambria"/>
          <w:i/>
          <w:iCs/>
          <w:noProof/>
          <w:sz w:val="24"/>
        </w:rPr>
        <w:t>60</w:t>
      </w:r>
      <w:r w:rsidRPr="00F4261D">
        <w:rPr>
          <w:rFonts w:ascii="Cambria" w:hAnsi="Cambria"/>
          <w:noProof/>
          <w:sz w:val="24"/>
        </w:rPr>
        <w:t>, 219–225.</w:t>
      </w:r>
    </w:p>
    <w:p w14:paraId="4BF50ED5" w14:textId="603949A4"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Sharma, R., Yang, Y., Sharma, A., Awasthi, S., &amp; Awasthi, Y. C. (2004). Antioxidant role of glutathione S-transferases: protection against oxidant toxicity and regulation of stress-mediated apoptosis. </w:t>
      </w:r>
      <w:r w:rsidRPr="00F4261D">
        <w:rPr>
          <w:rFonts w:ascii="Cambria" w:hAnsi="Cambria"/>
          <w:i/>
          <w:iCs/>
          <w:noProof/>
          <w:sz w:val="24"/>
        </w:rPr>
        <w:t>Antioxidants &amp; redox signaling</w:t>
      </w:r>
      <w:r w:rsidRPr="00F4261D">
        <w:rPr>
          <w:rFonts w:ascii="Cambria" w:hAnsi="Cambria"/>
          <w:noProof/>
          <w:sz w:val="24"/>
        </w:rPr>
        <w:t xml:space="preserve">, </w:t>
      </w:r>
      <w:r w:rsidRPr="00F4261D">
        <w:rPr>
          <w:rFonts w:ascii="Cambria" w:hAnsi="Cambria"/>
          <w:i/>
          <w:iCs/>
          <w:noProof/>
          <w:sz w:val="24"/>
        </w:rPr>
        <w:t>6</w:t>
      </w:r>
      <w:r w:rsidRPr="00F4261D">
        <w:rPr>
          <w:rFonts w:ascii="Cambria" w:hAnsi="Cambria"/>
          <w:noProof/>
          <w:sz w:val="24"/>
        </w:rPr>
        <w:t xml:space="preserve">(2), 289–300. </w:t>
      </w:r>
    </w:p>
    <w:p w14:paraId="1346E9C2"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Tomanek, L., Zuzow, M. J., Ivanina, A. V, Beniash, E., &amp; Sokolova, I. M. (2011). Proteomic response to elevated PCO2 level in eastern oysters, Crassostrea virginica: evidence for oxidative stress. </w:t>
      </w:r>
      <w:r w:rsidRPr="00F4261D">
        <w:rPr>
          <w:rFonts w:ascii="Cambria" w:hAnsi="Cambria"/>
          <w:i/>
          <w:iCs/>
          <w:noProof/>
          <w:sz w:val="24"/>
        </w:rPr>
        <w:t>The Journal of experimental biology</w:t>
      </w:r>
      <w:r w:rsidRPr="00F4261D">
        <w:rPr>
          <w:rFonts w:ascii="Cambria" w:hAnsi="Cambria"/>
          <w:noProof/>
          <w:sz w:val="24"/>
        </w:rPr>
        <w:t xml:space="preserve">, </w:t>
      </w:r>
      <w:r w:rsidRPr="00F4261D">
        <w:rPr>
          <w:rFonts w:ascii="Cambria" w:hAnsi="Cambria"/>
          <w:i/>
          <w:iCs/>
          <w:noProof/>
          <w:sz w:val="24"/>
        </w:rPr>
        <w:t>214</w:t>
      </w:r>
      <w:r w:rsidRPr="00F4261D">
        <w:rPr>
          <w:rFonts w:ascii="Cambria" w:hAnsi="Cambria"/>
          <w:noProof/>
          <w:sz w:val="24"/>
        </w:rPr>
        <w:t>(Pt 11), 1836–44. doi:10.1242/jeb.055475</w:t>
      </w:r>
    </w:p>
    <w:p w14:paraId="22826BEE" w14:textId="77777777" w:rsidR="00CA19DA" w:rsidRDefault="00CA19DA" w:rsidP="00CA19DA">
      <w:pPr>
        <w:pStyle w:val="NormalWeb"/>
        <w:ind w:left="480" w:hanging="480"/>
        <w:rPr>
          <w:rFonts w:ascii="Cambria" w:hAnsi="Cambria"/>
          <w:noProof/>
          <w:sz w:val="24"/>
        </w:rPr>
      </w:pPr>
      <w:r w:rsidRPr="00F4261D">
        <w:rPr>
          <w:rFonts w:ascii="Cambria" w:hAnsi="Cambria"/>
          <w:noProof/>
          <w:sz w:val="24"/>
        </w:rPr>
        <w:t xml:space="preserve">Wu, C., Zhang, W., Mai, K., Xu, W., &amp; Zhong, X. (2011). Effects of dietary zinc on gene expression of antioxidant enzymes and heat shock proteins in hepatopancreas of abalone Haliotis discus hannai. </w:t>
      </w:r>
      <w:r w:rsidRPr="00F4261D">
        <w:rPr>
          <w:rFonts w:ascii="Cambria" w:hAnsi="Cambria"/>
          <w:i/>
          <w:iCs/>
          <w:noProof/>
          <w:sz w:val="24"/>
        </w:rPr>
        <w:t>Comparative biochemistry and physiology. Toxicology &amp; pharmacology : CBP</w:t>
      </w:r>
      <w:r w:rsidRPr="00F4261D">
        <w:rPr>
          <w:rFonts w:ascii="Cambria" w:hAnsi="Cambria"/>
          <w:noProof/>
          <w:sz w:val="24"/>
        </w:rPr>
        <w:t xml:space="preserve">, </w:t>
      </w:r>
      <w:r w:rsidRPr="00F4261D">
        <w:rPr>
          <w:rFonts w:ascii="Cambria" w:hAnsi="Cambria"/>
          <w:i/>
          <w:iCs/>
          <w:noProof/>
          <w:sz w:val="24"/>
        </w:rPr>
        <w:t>154</w:t>
      </w:r>
      <w:r w:rsidRPr="00F4261D">
        <w:rPr>
          <w:rFonts w:ascii="Cambria" w:hAnsi="Cambria"/>
          <w:noProof/>
          <w:sz w:val="24"/>
        </w:rPr>
        <w:t>(1), 1–6. doi:10.1016/j.cbpc.2011.03.003</w:t>
      </w:r>
    </w:p>
    <w:p w14:paraId="0052750C" w14:textId="77777777" w:rsidR="00CB5AAE" w:rsidRDefault="00CB5AAE" w:rsidP="00CB5AAE">
      <w:pPr>
        <w:rPr>
          <w:noProof/>
        </w:rPr>
      </w:pPr>
    </w:p>
    <w:p w14:paraId="7660FCB6" w14:textId="77777777" w:rsidR="00CB5AAE" w:rsidRDefault="00CB5AAE" w:rsidP="00CB5AAE">
      <w:pPr>
        <w:rPr>
          <w:noProof/>
        </w:rPr>
      </w:pPr>
    </w:p>
    <w:p w14:paraId="01CBCA88" w14:textId="77777777" w:rsidR="00CB5AAE" w:rsidRDefault="00CB5AAE" w:rsidP="00CB5AAE">
      <w:pPr>
        <w:rPr>
          <w:noProof/>
        </w:rPr>
      </w:pPr>
    </w:p>
    <w:p w14:paraId="02258160" w14:textId="77777777" w:rsidR="00CB5AAE" w:rsidRDefault="00CB5AAE" w:rsidP="00CB5AAE">
      <w:pPr>
        <w:rPr>
          <w:noProof/>
        </w:rPr>
      </w:pPr>
    </w:p>
    <w:p w14:paraId="73E0FBAB" w14:textId="77777777" w:rsidR="00CB5AAE" w:rsidRDefault="00CB5AAE" w:rsidP="00CB5AAE">
      <w:pPr>
        <w:rPr>
          <w:noProof/>
        </w:rPr>
      </w:pPr>
    </w:p>
    <w:p w14:paraId="1923BE03" w14:textId="77777777" w:rsidR="00CB5AAE" w:rsidRDefault="00CB5AAE" w:rsidP="00CB5AAE">
      <w:pPr>
        <w:rPr>
          <w:noProof/>
        </w:rPr>
      </w:pPr>
    </w:p>
    <w:p w14:paraId="0B3D44D9" w14:textId="77777777" w:rsidR="00CB5AAE" w:rsidRDefault="00CB5AAE" w:rsidP="00CB5AAE">
      <w:pPr>
        <w:rPr>
          <w:noProof/>
        </w:rPr>
      </w:pPr>
    </w:p>
    <w:p w14:paraId="4886DE72" w14:textId="77777777" w:rsidR="00CB5AAE" w:rsidRDefault="00CB5AAE" w:rsidP="00CB5AAE">
      <w:pPr>
        <w:rPr>
          <w:noProof/>
        </w:rPr>
      </w:pPr>
    </w:p>
    <w:p w14:paraId="79109C4B" w14:textId="77777777" w:rsidR="00CB5AAE" w:rsidRDefault="00CB5AAE" w:rsidP="00CB5AAE">
      <w:pPr>
        <w:rPr>
          <w:noProof/>
        </w:rPr>
      </w:pPr>
    </w:p>
    <w:p w14:paraId="0D48E422" w14:textId="77777777" w:rsidR="00CB5AAE" w:rsidRDefault="00CB5AAE" w:rsidP="00CB5AAE">
      <w:pPr>
        <w:rPr>
          <w:noProof/>
        </w:rPr>
      </w:pPr>
    </w:p>
    <w:p w14:paraId="40649BA2" w14:textId="77777777" w:rsidR="00CB5AAE" w:rsidRDefault="00CB5AAE" w:rsidP="00CB5AAE">
      <w:pPr>
        <w:rPr>
          <w:noProof/>
        </w:rPr>
      </w:pPr>
    </w:p>
    <w:p w14:paraId="6EB360ED" w14:textId="77777777" w:rsidR="00CB5AAE" w:rsidRDefault="00CB5AAE" w:rsidP="00CB5AAE">
      <w:pPr>
        <w:rPr>
          <w:noProof/>
        </w:rPr>
      </w:pPr>
    </w:p>
    <w:p w14:paraId="729A6472" w14:textId="77777777" w:rsidR="00CB5AAE" w:rsidRDefault="00CB5AAE" w:rsidP="00CB5AAE">
      <w:pPr>
        <w:rPr>
          <w:noProof/>
        </w:rPr>
      </w:pPr>
    </w:p>
    <w:p w14:paraId="280C6F76" w14:textId="77777777" w:rsidR="00CB5AAE" w:rsidRDefault="00CB5AAE" w:rsidP="00CB5AAE">
      <w:pPr>
        <w:rPr>
          <w:noProof/>
        </w:rPr>
      </w:pPr>
    </w:p>
    <w:p w14:paraId="001CDA10" w14:textId="77777777" w:rsidR="00CB5AAE" w:rsidRDefault="00CB5AAE" w:rsidP="00CB5AAE">
      <w:pPr>
        <w:rPr>
          <w:noProof/>
        </w:rPr>
      </w:pPr>
    </w:p>
    <w:p w14:paraId="6DE64345" w14:textId="77777777" w:rsidR="00CB5AAE" w:rsidRDefault="00CB5AAE" w:rsidP="00CB5AAE">
      <w:pPr>
        <w:rPr>
          <w:noProof/>
        </w:rPr>
      </w:pPr>
    </w:p>
    <w:p w14:paraId="35AF9565" w14:textId="77777777" w:rsidR="00CB5AAE" w:rsidRDefault="00CB5AAE" w:rsidP="00CB5AAE">
      <w:pPr>
        <w:rPr>
          <w:noProof/>
        </w:rPr>
      </w:pPr>
    </w:p>
    <w:p w14:paraId="2C031823" w14:textId="77777777" w:rsidR="00CB5AAE" w:rsidRDefault="00CB5AAE" w:rsidP="00CB5AAE">
      <w:pPr>
        <w:rPr>
          <w:noProof/>
        </w:rPr>
      </w:pPr>
    </w:p>
    <w:p w14:paraId="0DC1C565" w14:textId="77777777" w:rsidR="00CB5AAE" w:rsidRDefault="00CB5AAE" w:rsidP="00CB5AAE">
      <w:pPr>
        <w:rPr>
          <w:noProof/>
        </w:rPr>
      </w:pPr>
    </w:p>
    <w:p w14:paraId="5DBE5C87" w14:textId="77777777" w:rsidR="00CB5AAE" w:rsidRDefault="00CB5AAE" w:rsidP="00CB5AAE">
      <w:pPr>
        <w:rPr>
          <w:noProof/>
        </w:rPr>
      </w:pPr>
    </w:p>
    <w:p w14:paraId="6AF080A8" w14:textId="77777777" w:rsidR="00CB5AAE" w:rsidRDefault="00CB5AAE" w:rsidP="00CB5AAE">
      <w:pPr>
        <w:rPr>
          <w:noProof/>
        </w:rPr>
      </w:pPr>
    </w:p>
    <w:p w14:paraId="2784902A" w14:textId="77777777" w:rsidR="00CB5AAE" w:rsidRDefault="00CB5AAE" w:rsidP="00CB5AAE">
      <w:pPr>
        <w:rPr>
          <w:noProof/>
        </w:rPr>
      </w:pPr>
    </w:p>
    <w:p w14:paraId="239B5AB9" w14:textId="77777777" w:rsidR="00CB5AAE" w:rsidRDefault="00CB5AAE" w:rsidP="00CB5AAE">
      <w:pPr>
        <w:rPr>
          <w:noProof/>
        </w:rPr>
      </w:pPr>
    </w:p>
    <w:p w14:paraId="19F43F47" w14:textId="77777777" w:rsidR="00CB5AAE" w:rsidRDefault="00CB5AAE" w:rsidP="00CB5AAE">
      <w:pPr>
        <w:rPr>
          <w:noProof/>
        </w:rPr>
      </w:pPr>
    </w:p>
    <w:p w14:paraId="0B6A31F1" w14:textId="040A91E4" w:rsidR="00590C70" w:rsidRDefault="00590C70" w:rsidP="00CB5AAE">
      <w:pPr>
        <w:pStyle w:val="Heading1"/>
        <w:rPr>
          <w:noProof/>
        </w:rPr>
      </w:pPr>
      <w:bookmarkStart w:id="97" w:name="_Toc252110049"/>
      <w:r>
        <w:rPr>
          <w:noProof/>
        </w:rPr>
        <w:t xml:space="preserve">Appendix B: Histological Investigations into the Effects of </w:t>
      </w:r>
      <w:r w:rsidRPr="00590C70">
        <w:rPr>
          <w:i/>
          <w:noProof/>
        </w:rPr>
        <w:t>p</w:t>
      </w:r>
      <w:r>
        <w:rPr>
          <w:noProof/>
        </w:rPr>
        <w:t>CO</w:t>
      </w:r>
      <w:r w:rsidRPr="00590C70">
        <w:rPr>
          <w:noProof/>
          <w:vertAlign w:val="subscript"/>
        </w:rPr>
        <w:t>2</w:t>
      </w:r>
      <w:r>
        <w:rPr>
          <w:noProof/>
        </w:rPr>
        <w:t xml:space="preserve"> and a second stressor in Pacific Oysters</w:t>
      </w:r>
      <w:bookmarkEnd w:id="97"/>
    </w:p>
    <w:p w14:paraId="7D454B4D" w14:textId="77777777" w:rsidR="00E31863" w:rsidRDefault="00E31863" w:rsidP="00E31863"/>
    <w:p w14:paraId="6666BD56" w14:textId="0E7A6988" w:rsidR="00E31863" w:rsidRPr="00E31863" w:rsidRDefault="00E31863" w:rsidP="00E31863">
      <w:r>
        <w:t>Histology analysis done by Jessica Blanchette</w:t>
      </w:r>
    </w:p>
    <w:p w14:paraId="248B992B" w14:textId="77777777" w:rsidR="00590C70" w:rsidRDefault="00590C70" w:rsidP="00590C70"/>
    <w:p w14:paraId="1A7FC916" w14:textId="6D2BD9A2" w:rsidR="00590C70" w:rsidRDefault="00590C70" w:rsidP="00590C70">
      <w:pPr>
        <w:pStyle w:val="Heading2"/>
      </w:pPr>
      <w:bookmarkStart w:id="98" w:name="_Toc252110050"/>
      <w:r>
        <w:t>Introduction</w:t>
      </w:r>
      <w:bookmarkEnd w:id="98"/>
    </w:p>
    <w:p w14:paraId="7B5B34D9" w14:textId="77777777" w:rsidR="00534DA8" w:rsidRPr="00534DA8" w:rsidRDefault="00534DA8" w:rsidP="00534DA8"/>
    <w:p w14:paraId="1D0CDBE4" w14:textId="57077491" w:rsidR="002F09AA" w:rsidRPr="00BE45C8" w:rsidRDefault="002F09AA" w:rsidP="00534DA8">
      <w:pPr>
        <w:spacing w:line="360" w:lineRule="auto"/>
      </w:pPr>
      <w:r>
        <w:tab/>
      </w:r>
      <w:r w:rsidR="00534DA8">
        <w:t xml:space="preserve">Intertidal species have evolved in a notoriously variable and stressful environment in which they frequently encounter conditions that are near the limit </w:t>
      </w:r>
      <w:r w:rsidR="0008341D">
        <w:t>of</w:t>
      </w:r>
      <w:r w:rsidR="00534DA8">
        <w:t xml:space="preserve"> their range of</w:t>
      </w:r>
      <w:r w:rsidR="006F283A">
        <w:t xml:space="preserve"> physiological function (Somero 2002</w:t>
      </w:r>
      <w:r w:rsidR="00534DA8">
        <w:t xml:space="preserve">).  Climate change may push intertidal species beyond </w:t>
      </w:r>
      <w:r w:rsidR="0008341D">
        <w:t xml:space="preserve">this range </w:t>
      </w:r>
      <w:r w:rsidR="00534DA8">
        <w:t>to the point of physiological damage</w:t>
      </w:r>
      <w:r w:rsidR="0081407C">
        <w:t>, or these species may be uniquely adapted to withstand environmental change</w:t>
      </w:r>
      <w:r>
        <w:t>.</w:t>
      </w:r>
      <w:r w:rsidR="00534DA8">
        <w:t xml:space="preserve">  Many processes that are </w:t>
      </w:r>
      <w:r w:rsidR="0008341D">
        <w:t>part of the</w:t>
      </w:r>
      <w:r w:rsidR="00534DA8">
        <w:t xml:space="preserve"> response to average fluctuations in the intertidal could be </w:t>
      </w:r>
      <w:r w:rsidR="0008341D">
        <w:t>affected</w:t>
      </w:r>
      <w:r w:rsidR="00534DA8">
        <w:t xml:space="preserve"> in the physiological response to future climate scenarios.</w:t>
      </w:r>
      <w:r>
        <w:t xml:space="preserve">  </w:t>
      </w:r>
      <w:r w:rsidR="006F283A">
        <w:t>Cuboidal m</w:t>
      </w:r>
      <w:r w:rsidR="00534DA8">
        <w:t>etaplasia of digestive tubules</w:t>
      </w:r>
      <w:r w:rsidR="006F283A">
        <w:t>, or digestive diverticula atrophy,</w:t>
      </w:r>
      <w:r w:rsidR="00534DA8">
        <w:t xml:space="preserve"> is a common occurrence </w:t>
      </w:r>
      <w:r w:rsidR="006F283A">
        <w:t>in bivalves (Owen 1966)</w:t>
      </w:r>
      <w:r w:rsidR="00534DA8">
        <w:t xml:space="preserve"> </w:t>
      </w:r>
      <w:r w:rsidR="00E16191">
        <w:t>and has also been documented in response to environmental stress</w:t>
      </w:r>
      <w:r w:rsidR="00534DA8">
        <w:t>.</w:t>
      </w:r>
      <w:r w:rsidR="00BE45C8">
        <w:t xml:space="preserve">  </w:t>
      </w:r>
      <w:r w:rsidR="0045586B">
        <w:t>Cycles of m</w:t>
      </w:r>
      <w:r w:rsidR="00BE45C8">
        <w:t>etaplasia of the digestive diverticul</w:t>
      </w:r>
      <w:r w:rsidR="0045586B">
        <w:t>a can</w:t>
      </w:r>
      <w:r w:rsidR="0008341D">
        <w:t xml:space="preserve"> also</w:t>
      </w:r>
      <w:r w:rsidR="0045586B">
        <w:t xml:space="preserve"> </w:t>
      </w:r>
      <w:r w:rsidR="0008341D">
        <w:t>fluctuate</w:t>
      </w:r>
      <w:r w:rsidR="0045586B">
        <w:t xml:space="preserve"> seasonally </w:t>
      </w:r>
      <w:r w:rsidR="00534DA8">
        <w:t>(</w:t>
      </w:r>
      <w:r w:rsidR="0045586B">
        <w:t xml:space="preserve">Couch 1985; </w:t>
      </w:r>
      <w:r w:rsidR="00534DA8">
        <w:t>Weis et al. 1995)</w:t>
      </w:r>
      <w:r>
        <w:t xml:space="preserve">.  </w:t>
      </w:r>
      <w:r w:rsidR="00B25B7F">
        <w:t xml:space="preserve">Increased </w:t>
      </w:r>
      <w:r w:rsidR="006F283A">
        <w:t xml:space="preserve">cuboidal </w:t>
      </w:r>
      <w:r w:rsidR="00B25B7F">
        <w:t>m</w:t>
      </w:r>
      <w:r w:rsidR="00040FE7">
        <w:t xml:space="preserve">etaplasia has been </w:t>
      </w:r>
      <w:r w:rsidR="00BE45C8">
        <w:t>associated with</w:t>
      </w:r>
      <w:r w:rsidR="00040FE7">
        <w:t xml:space="preserve"> lesions in </w:t>
      </w:r>
      <w:r w:rsidR="00040FE7">
        <w:rPr>
          <w:i/>
        </w:rPr>
        <w:t xml:space="preserve">Mytilus edulis </w:t>
      </w:r>
      <w:r w:rsidR="00040FE7">
        <w:t>(Lowe and Moore 1979)</w:t>
      </w:r>
      <w:r w:rsidR="00BB44A9">
        <w:t xml:space="preserve">, </w:t>
      </w:r>
      <w:r w:rsidR="00A15736">
        <w:rPr>
          <w:i/>
        </w:rPr>
        <w:t>Crassostrea rhizophorae</w:t>
      </w:r>
      <w:r w:rsidR="00BB44A9">
        <w:t xml:space="preserve"> die-offs (</w:t>
      </w:r>
      <w:r w:rsidR="00A15736">
        <w:t>Nascimento et al. 1986)</w:t>
      </w:r>
      <w:r w:rsidR="00BE45C8">
        <w:t xml:space="preserve">, </w:t>
      </w:r>
      <w:r w:rsidR="00BE45C8">
        <w:rPr>
          <w:i/>
        </w:rPr>
        <w:t xml:space="preserve">Crassostrea virginica </w:t>
      </w:r>
      <w:r w:rsidR="00BE45C8">
        <w:t>exposure to environmental pollutants (Weis et al. 1995)</w:t>
      </w:r>
      <w:r w:rsidR="00C15026">
        <w:t xml:space="preserve">, and starvation in </w:t>
      </w:r>
      <w:r w:rsidR="00C15026">
        <w:rPr>
          <w:i/>
        </w:rPr>
        <w:t xml:space="preserve">C. virginica </w:t>
      </w:r>
      <w:r w:rsidR="00C15026">
        <w:t>(Winstead 1995)</w:t>
      </w:r>
      <w:r w:rsidR="00BE45C8">
        <w:t>.</w:t>
      </w:r>
    </w:p>
    <w:p w14:paraId="335208E4" w14:textId="113F1130" w:rsidR="00590C70" w:rsidRDefault="002F09AA" w:rsidP="00534DA8">
      <w:pPr>
        <w:spacing w:line="360" w:lineRule="auto"/>
        <w:ind w:firstLine="720"/>
      </w:pPr>
      <w:r>
        <w:t xml:space="preserve">This study investigates future ocean </w:t>
      </w:r>
      <w:r w:rsidR="00B25B7F">
        <w:t>pH (ocean acidification) e</w:t>
      </w:r>
      <w:r w:rsidR="00FD2D98">
        <w:t>ffects</w:t>
      </w:r>
      <w:r w:rsidR="00B25B7F">
        <w:t xml:space="preserve"> on digestive tubule </w:t>
      </w:r>
      <w:r w:rsidR="006F283A">
        <w:t xml:space="preserve">cuboidal </w:t>
      </w:r>
      <w:r w:rsidR="00B25B7F">
        <w:t xml:space="preserve">metaplasia in the </w:t>
      </w:r>
      <w:r w:rsidR="00FD2D98">
        <w:t xml:space="preserve">Pacific oyster, </w:t>
      </w:r>
      <w:r w:rsidR="00FD2D98">
        <w:rPr>
          <w:i/>
        </w:rPr>
        <w:t>Crassostrea gigas</w:t>
      </w:r>
      <w:r w:rsidR="00FD2D98">
        <w:t xml:space="preserve">.  Our hypothesis is that elevated </w:t>
      </w:r>
      <w:r w:rsidR="00FD2D98" w:rsidRPr="000D35D8">
        <w:rPr>
          <w:i/>
        </w:rPr>
        <w:t>p</w:t>
      </w:r>
      <w:r w:rsidR="00FD2D98">
        <w:t>CO</w:t>
      </w:r>
      <w:r w:rsidR="00FD2D98" w:rsidRPr="000D35D8">
        <w:rPr>
          <w:vertAlign w:val="subscript"/>
        </w:rPr>
        <w:t>2</w:t>
      </w:r>
      <w:r w:rsidR="00FD2D98">
        <w:t xml:space="preserve">/decreased pH will increase the physiological stress experienced by the oysters and thus increase metaplasia.  </w:t>
      </w:r>
    </w:p>
    <w:p w14:paraId="5EBBE787" w14:textId="4A931EC3" w:rsidR="00FD2D98" w:rsidRPr="00FD2D98" w:rsidRDefault="00FD2D98" w:rsidP="00534DA8">
      <w:pPr>
        <w:spacing w:line="360" w:lineRule="auto"/>
        <w:ind w:firstLine="720"/>
      </w:pPr>
      <w:r>
        <w:t xml:space="preserve">Oysters were exposed to one of three </w:t>
      </w:r>
      <w:r w:rsidRPr="000D35D8">
        <w:rPr>
          <w:i/>
        </w:rPr>
        <w:t>p</w:t>
      </w:r>
      <w:r>
        <w:t>CO</w:t>
      </w:r>
      <w:r w:rsidRPr="000D35D8">
        <w:rPr>
          <w:vertAlign w:val="subscript"/>
        </w:rPr>
        <w:t>2</w:t>
      </w:r>
      <w:r>
        <w:t xml:space="preserve"> levels - 400 </w:t>
      </w:r>
      <w:r w:rsidR="000D35D8">
        <w:rPr>
          <w:rFonts w:ascii="Cambria" w:hAnsi="Cambria"/>
        </w:rPr>
        <w:t>μ</w:t>
      </w:r>
      <w:r w:rsidR="000D35D8">
        <w:t xml:space="preserve">atm </w:t>
      </w:r>
      <w:r>
        <w:t xml:space="preserve">(control), 1000 </w:t>
      </w:r>
      <w:r w:rsidR="000D35D8">
        <w:rPr>
          <w:rFonts w:ascii="Cambria" w:hAnsi="Cambria"/>
        </w:rPr>
        <w:t>μ</w:t>
      </w:r>
      <w:r w:rsidR="000D35D8">
        <w:t>atm</w:t>
      </w:r>
      <w:r>
        <w:t xml:space="preserve">, or 2800 </w:t>
      </w:r>
      <w:r w:rsidR="000D35D8">
        <w:rPr>
          <w:rFonts w:ascii="Cambria" w:hAnsi="Cambria"/>
        </w:rPr>
        <w:t>μ</w:t>
      </w:r>
      <w:r w:rsidR="000D35D8">
        <w:t xml:space="preserve">atm </w:t>
      </w:r>
      <w:r>
        <w:t xml:space="preserve">- for one month.  Subsequently, a subset of oysters from each </w:t>
      </w:r>
      <w:r w:rsidRPr="000D35D8">
        <w:rPr>
          <w:i/>
        </w:rPr>
        <w:t>p</w:t>
      </w:r>
      <w:r>
        <w:t>CO</w:t>
      </w:r>
      <w:r w:rsidRPr="000D35D8">
        <w:rPr>
          <w:vertAlign w:val="subscript"/>
        </w:rPr>
        <w:t>2</w:t>
      </w:r>
      <w:r>
        <w:t xml:space="preserve"> treatment was subjected to mechanical stress to investigate the effects of ocean acidification on the oyster's stress response at the histological level.</w:t>
      </w:r>
    </w:p>
    <w:p w14:paraId="46490EA4" w14:textId="1827DF71" w:rsidR="00590C70" w:rsidRDefault="00590C70" w:rsidP="00B25B7F">
      <w:pPr>
        <w:pStyle w:val="Heading2"/>
        <w:spacing w:line="360" w:lineRule="auto"/>
      </w:pPr>
      <w:bookmarkStart w:id="99" w:name="_Toc252110051"/>
      <w:r>
        <w:t>Materials and Methods</w:t>
      </w:r>
      <w:bookmarkEnd w:id="99"/>
    </w:p>
    <w:p w14:paraId="64FED9F2" w14:textId="79ADB70E" w:rsidR="009D7556" w:rsidRPr="009D7556" w:rsidRDefault="009D7556" w:rsidP="00B25B7F">
      <w:pPr>
        <w:spacing w:line="360" w:lineRule="auto"/>
      </w:pPr>
      <w:r>
        <w:tab/>
        <w:t>Experimental set-up and oyster sampling were accomp</w:t>
      </w:r>
      <w:r w:rsidR="00E16191">
        <w:t>lished as described in Chapter III</w:t>
      </w:r>
      <w:r>
        <w:t xml:space="preserve"> (</w:t>
      </w:r>
      <w:r w:rsidRPr="008E51E2">
        <w:t>see page</w:t>
      </w:r>
      <w:r w:rsidR="008E51E2">
        <w:t>s 64-66</w:t>
      </w:r>
      <w:r>
        <w:t>).</w:t>
      </w:r>
      <w:r w:rsidR="0008341D">
        <w:t xml:space="preserve">  Oysters from three of the </w:t>
      </w:r>
      <w:r w:rsidR="0008341D" w:rsidRPr="000F46A0">
        <w:rPr>
          <w:i/>
        </w:rPr>
        <w:t>p</w:t>
      </w:r>
      <w:r w:rsidR="0008341D">
        <w:t>CO</w:t>
      </w:r>
      <w:r w:rsidR="0008341D" w:rsidRPr="000F46A0">
        <w:rPr>
          <w:vertAlign w:val="subscript"/>
        </w:rPr>
        <w:t>2</w:t>
      </w:r>
      <w:r w:rsidR="0008341D">
        <w:t xml:space="preserve"> treatments (400, 1000, and 2800 </w:t>
      </w:r>
      <w:r w:rsidR="0008341D">
        <w:rPr>
          <w:rFonts w:ascii="Cambria" w:hAnsi="Cambria"/>
        </w:rPr>
        <w:t>μ</w:t>
      </w:r>
      <w:r w:rsidR="0008341D">
        <w:t xml:space="preserve">atm) were analyzed for histological differences due to </w:t>
      </w:r>
      <w:r w:rsidR="0008341D" w:rsidRPr="000F46A0">
        <w:rPr>
          <w:i/>
        </w:rPr>
        <w:t>p</w:t>
      </w:r>
      <w:r w:rsidR="0008341D">
        <w:t>CO</w:t>
      </w:r>
      <w:r w:rsidR="0008341D" w:rsidRPr="000F46A0">
        <w:rPr>
          <w:vertAlign w:val="subscript"/>
        </w:rPr>
        <w:t>2</w:t>
      </w:r>
      <w:r w:rsidR="0008341D">
        <w:t xml:space="preserve"> and mechanical stress.</w:t>
      </w:r>
      <w:r w:rsidR="00B25B7F">
        <w:t xml:space="preserve">  </w:t>
      </w:r>
      <w:r w:rsidR="0008341D">
        <w:t>A transverse section was taken from</w:t>
      </w:r>
      <w:r w:rsidR="00216B3B">
        <w:t xml:space="preserve"> each oyster to include tissues from digestive gland, gill, and mantle.</w:t>
      </w:r>
      <w:r>
        <w:t xml:space="preserve"> </w:t>
      </w:r>
      <w:r w:rsidR="00216B3B">
        <w:t xml:space="preserve">Sample sizes were as follows:  9 oysters for 400 </w:t>
      </w:r>
      <w:r w:rsidR="000F46A0">
        <w:rPr>
          <w:rFonts w:ascii="Cambria" w:hAnsi="Cambria"/>
        </w:rPr>
        <w:t>μ</w:t>
      </w:r>
      <w:r w:rsidR="000F46A0">
        <w:t>atm</w:t>
      </w:r>
      <w:r w:rsidR="00216B3B">
        <w:t xml:space="preserve">, 8 for 400 </w:t>
      </w:r>
      <w:r w:rsidR="000F46A0">
        <w:rPr>
          <w:rFonts w:ascii="Cambria" w:hAnsi="Cambria"/>
        </w:rPr>
        <w:t>μ</w:t>
      </w:r>
      <w:r w:rsidR="000F46A0">
        <w:t xml:space="preserve">atm </w:t>
      </w:r>
      <w:r w:rsidR="00216B3B">
        <w:t xml:space="preserve">+ mechanical stress, 8 for 1000 </w:t>
      </w:r>
      <w:r w:rsidR="000F46A0">
        <w:rPr>
          <w:rFonts w:ascii="Cambria" w:hAnsi="Cambria"/>
        </w:rPr>
        <w:t>μ</w:t>
      </w:r>
      <w:r w:rsidR="000F46A0">
        <w:t>atm</w:t>
      </w:r>
      <w:r w:rsidR="00216B3B">
        <w:t xml:space="preserve">, 8 for 1000 </w:t>
      </w:r>
      <w:r w:rsidR="000F46A0">
        <w:rPr>
          <w:rFonts w:ascii="Cambria" w:hAnsi="Cambria"/>
        </w:rPr>
        <w:t>μ</w:t>
      </w:r>
      <w:r w:rsidR="000F46A0">
        <w:t xml:space="preserve">atm </w:t>
      </w:r>
      <w:r w:rsidR="00216B3B">
        <w:t xml:space="preserve">+ mechanical stress, 8 for 2800 </w:t>
      </w:r>
      <w:r w:rsidR="000F46A0">
        <w:rPr>
          <w:rFonts w:ascii="Cambria" w:hAnsi="Cambria"/>
        </w:rPr>
        <w:t>μ</w:t>
      </w:r>
      <w:r w:rsidR="000F46A0">
        <w:t>atm</w:t>
      </w:r>
      <w:r w:rsidR="00216B3B">
        <w:t>,</w:t>
      </w:r>
      <w:r w:rsidR="00B25B7F">
        <w:t xml:space="preserve"> and</w:t>
      </w:r>
      <w:r w:rsidR="00216B3B">
        <w:t xml:space="preserve"> 5 for 2800 </w:t>
      </w:r>
      <w:r w:rsidR="000F46A0">
        <w:rPr>
          <w:rFonts w:ascii="Cambria" w:hAnsi="Cambria"/>
        </w:rPr>
        <w:t>μ</w:t>
      </w:r>
      <w:r w:rsidR="000F46A0">
        <w:t xml:space="preserve">atm </w:t>
      </w:r>
      <w:r w:rsidR="00216B3B">
        <w:t>+ mechanical stress.</w:t>
      </w:r>
    </w:p>
    <w:p w14:paraId="7BC38DE7" w14:textId="5632A86F" w:rsidR="00590C70" w:rsidRDefault="00216B3B" w:rsidP="00B25B7F">
      <w:pPr>
        <w:spacing w:line="360" w:lineRule="auto"/>
      </w:pPr>
      <w:r>
        <w:tab/>
        <w:t xml:space="preserve">Each tissue cross-section was placed in a histology cassette and immediately transferred to Invertebrate </w:t>
      </w:r>
      <w:r w:rsidRPr="002C7B21">
        <w:t>Davidson's fixative</w:t>
      </w:r>
      <w:r>
        <w:t xml:space="preserve"> (</w:t>
      </w:r>
      <w:r w:rsidR="00877472">
        <w:t>Shaw &amp; Battle 1957</w:t>
      </w:r>
      <w:r>
        <w:t>).  After 24 hours, cassettes were transferred to 70% ethanol for storage.  Slides were prepared</w:t>
      </w:r>
      <w:r w:rsidR="002C7B21">
        <w:t xml:space="preserve"> for routine paraffin histology</w:t>
      </w:r>
      <w:r>
        <w:t xml:space="preserve"> by </w:t>
      </w:r>
      <w:r w:rsidR="00877472">
        <w:t>the Diagnostic Pathology Medicinal Group (Sacramento, CA) and were stained with haematoxylin and eosin.   Digestive tubules were examined for signs of metaplasia.  Tubules with open and round lumen (contrasted with a</w:t>
      </w:r>
      <w:r w:rsidR="0008341D">
        <w:t xml:space="preserve"> 3- or</w:t>
      </w:r>
      <w:r w:rsidR="00877472">
        <w:t xml:space="preserve"> 4-point star-like shape) were considered to have</w:t>
      </w:r>
      <w:r w:rsidR="007903B1">
        <w:t xml:space="preserve"> undergone cuboidal metaplasia</w:t>
      </w:r>
      <w:r w:rsidR="00624850">
        <w:t xml:space="preserve"> (Fig. AppB.1)</w:t>
      </w:r>
      <w:r w:rsidR="007903B1">
        <w:t>.</w:t>
      </w:r>
    </w:p>
    <w:p w14:paraId="25AF8B88" w14:textId="272B714C" w:rsidR="00624850" w:rsidRDefault="00624850" w:rsidP="00B25B7F">
      <w:pPr>
        <w:spacing w:line="360" w:lineRule="auto"/>
      </w:pPr>
      <w:r>
        <w:tab/>
        <w:t xml:space="preserve">All analyses were performed in R (R </w:t>
      </w:r>
      <w:r w:rsidR="00821EF3">
        <w:t>Development</w:t>
      </w:r>
      <w:r>
        <w:t xml:space="preserve"> Team 2013).  ANOVA was performed with </w:t>
      </w:r>
      <w:r w:rsidR="00B25B7F" w:rsidRPr="00B25B7F">
        <w:rPr>
          <w:rFonts w:ascii="Cambria" w:hAnsi="Cambria"/>
          <w:i/>
        </w:rPr>
        <w:t>p</w:t>
      </w:r>
      <w:r w:rsidR="00B25B7F">
        <w:rPr>
          <w:rFonts w:ascii="Cambria" w:hAnsi="Cambria"/>
        </w:rPr>
        <w:t>CO</w:t>
      </w:r>
      <w:r w:rsidR="00B25B7F" w:rsidRPr="00B25B7F">
        <w:rPr>
          <w:rFonts w:ascii="Cambria" w:hAnsi="Cambria"/>
          <w:vertAlign w:val="subscript"/>
        </w:rPr>
        <w:t>2</w:t>
      </w:r>
      <w:r w:rsidR="000F46A0">
        <w:t xml:space="preserve"> </w:t>
      </w:r>
      <w:r>
        <w:t>and mechanical stress as fixed factors.</w:t>
      </w:r>
    </w:p>
    <w:p w14:paraId="28FC96B6" w14:textId="50C713E2" w:rsidR="0008341D" w:rsidRDefault="0008341D" w:rsidP="00B25B7F">
      <w:pPr>
        <w:spacing w:line="360" w:lineRule="auto"/>
      </w:pPr>
      <w:r>
        <w:rPr>
          <w:noProof/>
          <w:lang w:eastAsia="en-US"/>
        </w:rPr>
        <w:drawing>
          <wp:inline distT="0" distB="0" distL="0" distR="0" wp14:anchorId="0052A457" wp14:editId="2D957591">
            <wp:extent cx="2337435" cy="317068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plasia figure.jpg"/>
                    <pic:cNvPicPr/>
                  </pic:nvPicPr>
                  <pic:blipFill rotWithShape="1">
                    <a:blip r:embed="rId38">
                      <a:extLst>
                        <a:ext uri="{28A0092B-C50C-407E-A947-70E740481C1C}">
                          <a14:useLocalDpi xmlns:a14="http://schemas.microsoft.com/office/drawing/2010/main" val="0"/>
                        </a:ext>
                      </a:extLst>
                    </a:blip>
                    <a:srcRect l="24769" t="6291" r="25231" b="5932"/>
                    <a:stretch/>
                  </pic:blipFill>
                  <pic:spPr bwMode="auto">
                    <a:xfrm>
                      <a:off x="0" y="0"/>
                      <a:ext cx="2337435" cy="3170687"/>
                    </a:xfrm>
                    <a:prstGeom prst="rect">
                      <a:avLst/>
                    </a:prstGeom>
                    <a:ln>
                      <a:noFill/>
                    </a:ln>
                    <a:extLst>
                      <a:ext uri="{53640926-AAD7-44d8-BBD7-CCE9431645EC}">
                        <a14:shadowObscured xmlns:a14="http://schemas.microsoft.com/office/drawing/2010/main"/>
                      </a:ext>
                    </a:extLst>
                  </pic:spPr>
                </pic:pic>
              </a:graphicData>
            </a:graphic>
          </wp:inline>
        </w:drawing>
      </w:r>
    </w:p>
    <w:p w14:paraId="59CBF585" w14:textId="41F87358" w:rsidR="0008341D" w:rsidRDefault="0008341D" w:rsidP="006F283A">
      <w:r>
        <w:t>Figure Appendix B.1. Normal digestive tubules (yellow arrows) and tubules undergoing metaplasia (black arrows).</w:t>
      </w:r>
    </w:p>
    <w:p w14:paraId="54C6EDC5" w14:textId="6E9C72B5" w:rsidR="007903B1" w:rsidRDefault="007903B1" w:rsidP="00590C70">
      <w:r>
        <w:tab/>
      </w:r>
    </w:p>
    <w:p w14:paraId="4CB3A3BA" w14:textId="7C35417E" w:rsidR="00590C70" w:rsidRDefault="00590C70" w:rsidP="00B25B7F">
      <w:pPr>
        <w:pStyle w:val="Heading2"/>
        <w:spacing w:line="360" w:lineRule="auto"/>
      </w:pPr>
      <w:bookmarkStart w:id="100" w:name="_Toc252110052"/>
      <w:r>
        <w:t>Results</w:t>
      </w:r>
      <w:bookmarkEnd w:id="100"/>
    </w:p>
    <w:p w14:paraId="050452AB" w14:textId="45697624" w:rsidR="00624850" w:rsidRPr="00624850" w:rsidRDefault="00624850" w:rsidP="00B25B7F">
      <w:pPr>
        <w:spacing w:line="360" w:lineRule="auto"/>
      </w:pPr>
      <w:r>
        <w:tab/>
      </w:r>
      <w:r w:rsidR="00B25B7F">
        <w:t xml:space="preserve">Elevated </w:t>
      </w:r>
      <w:r w:rsidR="00B25B7F" w:rsidRPr="00B25B7F">
        <w:rPr>
          <w:i/>
        </w:rPr>
        <w:t>p</w:t>
      </w:r>
      <w:r w:rsidR="00B25B7F">
        <w:t>CO</w:t>
      </w:r>
      <w:r w:rsidR="00B25B7F" w:rsidRPr="00B25B7F">
        <w:rPr>
          <w:vertAlign w:val="subscript"/>
        </w:rPr>
        <w:t>2</w:t>
      </w:r>
      <w:r w:rsidR="00B25B7F">
        <w:t xml:space="preserve"> had no effect on</w:t>
      </w:r>
      <w:r>
        <w:t xml:space="preserve"> proportion of digestive tubules undergoing metaplasia (Fig. AppB.2, F = 0.0562, p = 0.9455).  Across </w:t>
      </w:r>
      <w:r w:rsidR="00B25B7F" w:rsidRPr="00B25B7F">
        <w:rPr>
          <w:rFonts w:ascii="Cambria" w:hAnsi="Cambria"/>
          <w:i/>
        </w:rPr>
        <w:t>p</w:t>
      </w:r>
      <w:r w:rsidR="00B25B7F">
        <w:rPr>
          <w:rFonts w:ascii="Cambria" w:hAnsi="Cambria"/>
        </w:rPr>
        <w:t>CO</w:t>
      </w:r>
      <w:r w:rsidR="00B25B7F" w:rsidRPr="00B25B7F">
        <w:rPr>
          <w:rFonts w:ascii="Cambria" w:hAnsi="Cambria"/>
          <w:vertAlign w:val="subscript"/>
        </w:rPr>
        <w:t>2</w:t>
      </w:r>
      <w:r w:rsidR="000F46A0">
        <w:t xml:space="preserve"> </w:t>
      </w:r>
      <w:r>
        <w:t>treatments, mechanical stress resulted in fewer tubules with cuboidal metaplasia (Fig. AppB.2, F = 4.7870, p = 0.0323).</w:t>
      </w:r>
    </w:p>
    <w:p w14:paraId="275ACBF8" w14:textId="47EB4B0E" w:rsidR="009D7556" w:rsidRDefault="009D7556" w:rsidP="009D7556">
      <w:r>
        <w:rPr>
          <w:noProof/>
          <w:lang w:eastAsia="en-US"/>
        </w:rPr>
        <w:drawing>
          <wp:inline distT="0" distB="0" distL="0" distR="0" wp14:anchorId="28AB24E4" wp14:editId="43E31E17">
            <wp:extent cx="4280535" cy="4280535"/>
            <wp:effectExtent l="0" t="0" r="1206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plasia.pdf"/>
                    <pic:cNvPicPr/>
                  </pic:nvPicPr>
                  <pic:blipFill>
                    <a:blip r:embed="rId39">
                      <a:extLst>
                        <a:ext uri="{28A0092B-C50C-407E-A947-70E740481C1C}">
                          <a14:useLocalDpi xmlns:a14="http://schemas.microsoft.com/office/drawing/2010/main" val="0"/>
                        </a:ext>
                      </a:extLst>
                    </a:blip>
                    <a:stretch>
                      <a:fillRect/>
                    </a:stretch>
                  </pic:blipFill>
                  <pic:spPr>
                    <a:xfrm>
                      <a:off x="0" y="0"/>
                      <a:ext cx="4280535" cy="4280535"/>
                    </a:xfrm>
                    <a:prstGeom prst="rect">
                      <a:avLst/>
                    </a:prstGeom>
                  </pic:spPr>
                </pic:pic>
              </a:graphicData>
            </a:graphic>
          </wp:inline>
        </w:drawing>
      </w:r>
    </w:p>
    <w:p w14:paraId="7B062B00" w14:textId="3B832133" w:rsidR="00624850" w:rsidRPr="009D7556" w:rsidRDefault="00624850" w:rsidP="009D7556">
      <w:r>
        <w:t>Figure Appendix B.2. Proportion of digestive tubules exhibiting cuboidal metaplasia.  Means are plotted with 95% confidence intervals for mechanically stress</w:t>
      </w:r>
      <w:r w:rsidR="0008341D">
        <w:t>ed</w:t>
      </w:r>
      <w:r>
        <w:t xml:space="preserve"> (red) and non-mechanically stressed (blue) oysters across the three </w:t>
      </w:r>
      <w:r w:rsidRPr="000F46A0">
        <w:rPr>
          <w:i/>
        </w:rPr>
        <w:t>p</w:t>
      </w:r>
      <w:r>
        <w:t>CO</w:t>
      </w:r>
      <w:r w:rsidRPr="000F46A0">
        <w:rPr>
          <w:vertAlign w:val="subscript"/>
        </w:rPr>
        <w:t>2</w:t>
      </w:r>
      <w:r>
        <w:t xml:space="preserve"> treatments.  Mechanical stress caused a significant decrease in metaplasia </w:t>
      </w:r>
      <w:r w:rsidR="000F46A0">
        <w:t>in all</w:t>
      </w:r>
      <w:r>
        <w:t xml:space="preserve"> </w:t>
      </w:r>
      <w:r w:rsidRPr="000F46A0">
        <w:rPr>
          <w:i/>
        </w:rPr>
        <w:t>p</w:t>
      </w:r>
      <w:r>
        <w:t>CO</w:t>
      </w:r>
      <w:r w:rsidRPr="000F46A0">
        <w:rPr>
          <w:vertAlign w:val="subscript"/>
        </w:rPr>
        <w:t>2</w:t>
      </w:r>
      <w:r>
        <w:t xml:space="preserve"> treatments.</w:t>
      </w:r>
    </w:p>
    <w:p w14:paraId="229D00D2" w14:textId="77777777" w:rsidR="00590C70" w:rsidRDefault="00590C70" w:rsidP="00590C70"/>
    <w:p w14:paraId="221E6A5F" w14:textId="03E39210" w:rsidR="00590C70" w:rsidRDefault="00590C70" w:rsidP="00590C70">
      <w:pPr>
        <w:pStyle w:val="Heading2"/>
      </w:pPr>
      <w:bookmarkStart w:id="101" w:name="_Toc252110053"/>
      <w:r>
        <w:t>Discussion</w:t>
      </w:r>
      <w:bookmarkEnd w:id="101"/>
    </w:p>
    <w:p w14:paraId="69FF5F6B" w14:textId="77777777" w:rsidR="00050D4D" w:rsidRPr="00050D4D" w:rsidRDefault="00050D4D" w:rsidP="00050D4D"/>
    <w:p w14:paraId="4DA87A19" w14:textId="1CFA1A60" w:rsidR="00A076C9" w:rsidRDefault="003E5089" w:rsidP="00050D4D">
      <w:pPr>
        <w:spacing w:line="360" w:lineRule="auto"/>
      </w:pPr>
      <w:r>
        <w:tab/>
        <w:t xml:space="preserve">One month exposure to elevated </w:t>
      </w:r>
      <w:r w:rsidRPr="0008341D">
        <w:rPr>
          <w:i/>
        </w:rPr>
        <w:t>p</w:t>
      </w:r>
      <w:r>
        <w:t>CO</w:t>
      </w:r>
      <w:r w:rsidRPr="0008341D">
        <w:rPr>
          <w:vertAlign w:val="subscript"/>
        </w:rPr>
        <w:t>2</w:t>
      </w:r>
      <w:r>
        <w:t xml:space="preserve"> did not affect digestive tubule </w:t>
      </w:r>
      <w:r w:rsidR="006F283A">
        <w:t xml:space="preserve">cuboidal </w:t>
      </w:r>
      <w:r>
        <w:t xml:space="preserve">metaplasia in </w:t>
      </w:r>
      <w:r>
        <w:rPr>
          <w:i/>
        </w:rPr>
        <w:t>Crassostrea gigas</w:t>
      </w:r>
      <w:r>
        <w:t xml:space="preserve">, however mechanical stimulation caused a decrease in the proportion of tubules undergoing metaplasia across all </w:t>
      </w:r>
      <w:r w:rsidRPr="0008341D">
        <w:rPr>
          <w:i/>
        </w:rPr>
        <w:t>p</w:t>
      </w:r>
      <w:r>
        <w:t>CO</w:t>
      </w:r>
      <w:r w:rsidRPr="0008341D">
        <w:rPr>
          <w:vertAlign w:val="subscript"/>
        </w:rPr>
        <w:t>2</w:t>
      </w:r>
      <w:r>
        <w:t xml:space="preserve"> levels.  Metaplasia is when digestive tubule cell type changes from columnar to cuboidal and </w:t>
      </w:r>
      <w:r w:rsidR="006F283A">
        <w:t>is a natural occurrence in the daily feeding cycle of bivalves (Owen 1966), but can increase</w:t>
      </w:r>
      <w:r>
        <w:t xml:space="preserve"> during starvation (Winstead 1995).  Some environmental stressors also instigate digestive tubule metaplasia</w:t>
      </w:r>
      <w:r w:rsidR="00A076C9">
        <w:t xml:space="preserve">, but this </w:t>
      </w:r>
      <w:r w:rsidR="006F283A">
        <w:t>may</w:t>
      </w:r>
      <w:r w:rsidR="00A076C9">
        <w:t xml:space="preserve"> be an indirect effect of decreased access to food.  For example, lesions proximal to digestive tubules are associated with metaplasia (Lowe and Moore 1979), </w:t>
      </w:r>
      <w:r w:rsidR="006F283A">
        <w:t>but the</w:t>
      </w:r>
      <w:r w:rsidR="00A076C9">
        <w:t xml:space="preserve"> lesions </w:t>
      </w:r>
      <w:r w:rsidR="006F283A">
        <w:t xml:space="preserve">may be </w:t>
      </w:r>
      <w:r w:rsidR="00A076C9">
        <w:t>inhibit</w:t>
      </w:r>
      <w:r w:rsidR="006F283A">
        <w:t>ing</w:t>
      </w:r>
      <w:r w:rsidR="00A076C9">
        <w:t xml:space="preserve"> digestion.  Additionally, exposure to high levels of pollutants causes metaplasia (Weis et al. 1995), but this could be a by-product of oyster shell closure during exposure to contaminated water</w:t>
      </w:r>
      <w:r w:rsidR="006F283A">
        <w:t xml:space="preserve"> (i.e. Doherty et al. 1987)</w:t>
      </w:r>
      <w:r w:rsidR="00A076C9">
        <w:t xml:space="preserve">, which would </w:t>
      </w:r>
      <w:r w:rsidR="0008341D">
        <w:t>prevent</w:t>
      </w:r>
      <w:r w:rsidR="00A076C9">
        <w:t xml:space="preserve"> feeding. </w:t>
      </w:r>
      <w:r w:rsidR="006F283A">
        <w:t xml:space="preserve"> </w:t>
      </w:r>
      <w:r w:rsidR="00A076C9">
        <w:t xml:space="preserve">Elevated </w:t>
      </w:r>
      <w:r w:rsidR="00A076C9" w:rsidRPr="0008341D">
        <w:rPr>
          <w:i/>
        </w:rPr>
        <w:t>p</w:t>
      </w:r>
      <w:r w:rsidR="00A076C9">
        <w:t>CO</w:t>
      </w:r>
      <w:r w:rsidR="00A076C9" w:rsidRPr="0008341D">
        <w:rPr>
          <w:vertAlign w:val="subscript"/>
        </w:rPr>
        <w:t>2</w:t>
      </w:r>
      <w:r w:rsidR="00A076C9">
        <w:t xml:space="preserve"> does not seem to affect access to food in </w:t>
      </w:r>
      <w:r w:rsidR="00A076C9">
        <w:rPr>
          <w:i/>
        </w:rPr>
        <w:t>C. gigas</w:t>
      </w:r>
      <w:r w:rsidR="00A076C9">
        <w:t xml:space="preserve">, as evidenced by lack of digestive tubule </w:t>
      </w:r>
      <w:r w:rsidR="006F283A">
        <w:t xml:space="preserve">cuboidal </w:t>
      </w:r>
      <w:r w:rsidR="00A076C9">
        <w:t xml:space="preserve">metaplasia as well as by </w:t>
      </w:r>
      <w:r w:rsidR="0008341D">
        <w:t>its lack of effect on</w:t>
      </w:r>
      <w:r w:rsidR="00A076C9">
        <w:t xml:space="preserve"> fatty acid profiles (see Chapter 3).</w:t>
      </w:r>
    </w:p>
    <w:p w14:paraId="4FED564F" w14:textId="7CE9CDBC" w:rsidR="00A076C9" w:rsidRDefault="00A076C9" w:rsidP="00050D4D">
      <w:pPr>
        <w:spacing w:line="360" w:lineRule="auto"/>
      </w:pPr>
      <w:r>
        <w:tab/>
        <w:t xml:space="preserve">Mechanical stress consistently caused a decrease in proportion of tubules undergoing metaplasia in all </w:t>
      </w:r>
      <w:r w:rsidRPr="0008341D">
        <w:rPr>
          <w:i/>
        </w:rPr>
        <w:t>p</w:t>
      </w:r>
      <w:r>
        <w:t>CO</w:t>
      </w:r>
      <w:r w:rsidRPr="0008341D">
        <w:rPr>
          <w:vertAlign w:val="subscript"/>
        </w:rPr>
        <w:t>2</w:t>
      </w:r>
      <w:r>
        <w:t xml:space="preserve"> treatments.  This finding is in contrast to previous hypotheses that metaplasia is a general stress response in bivalves</w:t>
      </w:r>
      <w:r w:rsidR="0008341D">
        <w:t xml:space="preserve"> (Couch 1985)</w:t>
      </w:r>
      <w:r>
        <w:t xml:space="preserve">.  The oysters that underwent mechanical stimulation may require more resources to </w:t>
      </w:r>
      <w:r w:rsidR="006F283A">
        <w:t>counteract</w:t>
      </w:r>
      <w:r>
        <w:t xml:space="preserve"> this exogenous stress and one response to this </w:t>
      </w:r>
      <w:r w:rsidR="0008341D">
        <w:t>requirement</w:t>
      </w:r>
      <w:r>
        <w:t xml:space="preserve"> may be to increase the number of dige</w:t>
      </w:r>
      <w:r w:rsidR="0008341D">
        <w:t xml:space="preserve">stive tubules </w:t>
      </w:r>
      <w:r w:rsidR="006F283A">
        <w:t>in the digestion phase (Owen 1966)</w:t>
      </w:r>
      <w:r>
        <w:t>.  A similar effort to mobilize resources after exposure to mechanical stress was also seen at th</w:t>
      </w:r>
      <w:r w:rsidR="00E16191">
        <w:t>e proteomic level (see Chapter III</w:t>
      </w:r>
      <w:r>
        <w:t xml:space="preserve"> D</w:t>
      </w:r>
      <w:r w:rsidR="00B51F71">
        <w:t xml:space="preserve">iscussion). </w:t>
      </w:r>
      <w:r>
        <w:t xml:space="preserve"> </w:t>
      </w:r>
      <w:r w:rsidR="006F283A">
        <w:t>These results suggest that digestive tubule cuboidal metaplasia may not be a general stress response, but may in fact be a physiological response to change in access to food resources as a result of an environmental stressor.  Further research into the signaling pathways and mechanisms that trigger cuboidal metaplasia would help to elucidate its causes.</w:t>
      </w:r>
    </w:p>
    <w:p w14:paraId="1A50398A" w14:textId="77777777" w:rsidR="00050D4D" w:rsidRDefault="00050D4D" w:rsidP="00050D4D">
      <w:pPr>
        <w:spacing w:line="360" w:lineRule="auto"/>
      </w:pPr>
    </w:p>
    <w:p w14:paraId="12BC157D" w14:textId="54911248" w:rsidR="00050D4D" w:rsidRDefault="00050D4D" w:rsidP="00050D4D">
      <w:pPr>
        <w:pStyle w:val="Heading2"/>
      </w:pPr>
      <w:bookmarkStart w:id="102" w:name="_Toc252110054"/>
      <w:r>
        <w:t>Works Cited</w:t>
      </w:r>
      <w:bookmarkEnd w:id="102"/>
    </w:p>
    <w:p w14:paraId="308698D6" w14:textId="77777777" w:rsidR="00E16191" w:rsidRPr="00E16191" w:rsidRDefault="00E16191" w:rsidP="00E16191"/>
    <w:p w14:paraId="0EE6E25F" w14:textId="7160E21C" w:rsidR="0081407C" w:rsidRPr="0081407C" w:rsidRDefault="00CA19DA" w:rsidP="00821EF3">
      <w:pPr>
        <w:ind w:left="720" w:hanging="720"/>
        <w:rPr>
          <w:i/>
        </w:rPr>
      </w:pPr>
      <w:r>
        <w:fldChar w:fldCharType="end"/>
      </w:r>
      <w:r w:rsidR="0081407C">
        <w:t xml:space="preserve">Couch, J.A. (1985) Prospective study of infectious and noninfectious diseases in oysters and fishes in three Gulf of Mexico estuaries. </w:t>
      </w:r>
      <w:proofErr w:type="gramStart"/>
      <w:r w:rsidR="0081407C">
        <w:rPr>
          <w:i/>
        </w:rPr>
        <w:t>Diseases of Aquatic Organisms</w:t>
      </w:r>
      <w:r w:rsidR="0081407C">
        <w:t xml:space="preserve">, </w:t>
      </w:r>
      <w:r w:rsidR="0081407C">
        <w:rPr>
          <w:i/>
        </w:rPr>
        <w:t>1, 59-82.</w:t>
      </w:r>
      <w:proofErr w:type="gramEnd"/>
    </w:p>
    <w:p w14:paraId="2FD0E407" w14:textId="72624877" w:rsidR="0081407C" w:rsidRPr="0081407C" w:rsidRDefault="0081407C" w:rsidP="00821EF3">
      <w:pPr>
        <w:ind w:left="720" w:hanging="720"/>
      </w:pPr>
      <w:r>
        <w:t xml:space="preserve">Doherty, F.G., Cherry, D.S., and Cairns, J. (1987) Valve closure responses of the Asiatic clam </w:t>
      </w:r>
      <w:r>
        <w:rPr>
          <w:i/>
        </w:rPr>
        <w:t xml:space="preserve">Corbicula fluminea </w:t>
      </w:r>
      <w:r>
        <w:t xml:space="preserve">exposed to cadmium and zinc. </w:t>
      </w:r>
      <w:proofErr w:type="gramStart"/>
      <w:r>
        <w:rPr>
          <w:i/>
        </w:rPr>
        <w:t>Hydrobiologia</w:t>
      </w:r>
      <w:r>
        <w:t xml:space="preserve">, </w:t>
      </w:r>
      <w:r>
        <w:rPr>
          <w:i/>
        </w:rPr>
        <w:t>153</w:t>
      </w:r>
      <w:r>
        <w:t>(2), 159-167.</w:t>
      </w:r>
      <w:proofErr w:type="gramEnd"/>
    </w:p>
    <w:p w14:paraId="6A2AEB41" w14:textId="76192ABE" w:rsidR="0081407C" w:rsidRPr="0081407C" w:rsidRDefault="0081407C" w:rsidP="00821EF3">
      <w:pPr>
        <w:ind w:left="720" w:hanging="720"/>
      </w:pPr>
      <w:proofErr w:type="gramStart"/>
      <w:r>
        <w:t>Lowe, D.M. and Moore, M.N. (1979) The cytology and occurrence of granulocytomas in mussels.</w:t>
      </w:r>
      <w:proofErr w:type="gramEnd"/>
      <w:r>
        <w:t xml:space="preserve"> </w:t>
      </w:r>
      <w:proofErr w:type="gramStart"/>
      <w:r>
        <w:rPr>
          <w:i/>
        </w:rPr>
        <w:t>Marine Pollution Bulletin</w:t>
      </w:r>
      <w:r>
        <w:t xml:space="preserve">, </w:t>
      </w:r>
      <w:r>
        <w:rPr>
          <w:i/>
        </w:rPr>
        <w:t>10</w:t>
      </w:r>
      <w:r>
        <w:t>(5), 137-141.</w:t>
      </w:r>
      <w:proofErr w:type="gramEnd"/>
    </w:p>
    <w:p w14:paraId="0B9017F3" w14:textId="3660E645" w:rsidR="0081407C" w:rsidRDefault="0081407C" w:rsidP="00821EF3">
      <w:pPr>
        <w:ind w:left="720" w:hanging="720"/>
      </w:pPr>
      <w:proofErr w:type="gramStart"/>
      <w:r>
        <w:t xml:space="preserve">Nascimento, I.A., Smith, D.H., Kern, F., and Pereira, S.A. (1986) Pathological findings in </w:t>
      </w:r>
      <w:r>
        <w:rPr>
          <w:i/>
        </w:rPr>
        <w:t xml:space="preserve">Crassostrea rhizophorae </w:t>
      </w:r>
      <w:r>
        <w:t>from Todos os Santos Bay, Bahia, Brazil.</w:t>
      </w:r>
      <w:proofErr w:type="gramEnd"/>
      <w:r>
        <w:t xml:space="preserve"> </w:t>
      </w:r>
      <w:proofErr w:type="gramStart"/>
      <w:r>
        <w:rPr>
          <w:i/>
        </w:rPr>
        <w:t>Journal of Invertebrate Pathology</w:t>
      </w:r>
      <w:r>
        <w:t xml:space="preserve">, </w:t>
      </w:r>
      <w:r>
        <w:rPr>
          <w:i/>
        </w:rPr>
        <w:t>47</w:t>
      </w:r>
      <w:r>
        <w:t>(3), 340-349.</w:t>
      </w:r>
      <w:proofErr w:type="gramEnd"/>
    </w:p>
    <w:p w14:paraId="1731209A" w14:textId="026F8854" w:rsidR="006F283A" w:rsidRPr="006F283A" w:rsidRDefault="006F283A" w:rsidP="00821EF3">
      <w:pPr>
        <w:ind w:left="720" w:hanging="720"/>
      </w:pPr>
      <w:proofErr w:type="gramStart"/>
      <w:r>
        <w:t>Owen, G. (1966) Digestion.</w:t>
      </w:r>
      <w:proofErr w:type="gramEnd"/>
      <w:r>
        <w:t xml:space="preserve">  </w:t>
      </w:r>
      <w:proofErr w:type="gramStart"/>
      <w:r>
        <w:t xml:space="preserve">In </w:t>
      </w:r>
      <w:r>
        <w:rPr>
          <w:i/>
        </w:rPr>
        <w:t>Physiology of Mollusca Volume II</w:t>
      </w:r>
      <w:r>
        <w:t>.</w:t>
      </w:r>
      <w:proofErr w:type="gramEnd"/>
      <w:r>
        <w:t xml:space="preserve"> Wilbur, K.M. and Yonge, C.M. (eds).  Academic Press: New York.</w:t>
      </w:r>
    </w:p>
    <w:p w14:paraId="2C072193" w14:textId="336DDC7B" w:rsidR="0081407C" w:rsidRPr="00821EF3" w:rsidRDefault="0081407C" w:rsidP="00821EF3">
      <w:pPr>
        <w:ind w:left="720" w:hanging="720"/>
      </w:pPr>
      <w:r>
        <w:t>Shaw</w:t>
      </w:r>
      <w:r w:rsidR="00821EF3">
        <w:t>, B.L.</w:t>
      </w:r>
      <w:r>
        <w:t xml:space="preserve"> and Battle</w:t>
      </w:r>
      <w:r w:rsidR="00821EF3">
        <w:t>, H.I.</w:t>
      </w:r>
      <w:r>
        <w:t xml:space="preserve"> </w:t>
      </w:r>
      <w:r w:rsidR="00821EF3">
        <w:t>(</w:t>
      </w:r>
      <w:r>
        <w:t>1957</w:t>
      </w:r>
      <w:r w:rsidR="00821EF3">
        <w:t xml:space="preserve">) The gross and microscopic anatomy of the digestive tract of the oyster </w:t>
      </w:r>
      <w:r w:rsidR="00821EF3">
        <w:rPr>
          <w:i/>
        </w:rPr>
        <w:t xml:space="preserve">Crassostrea virginica </w:t>
      </w:r>
      <w:r w:rsidR="00821EF3">
        <w:t xml:space="preserve">(Gmelin). </w:t>
      </w:r>
      <w:proofErr w:type="gramStart"/>
      <w:r w:rsidR="00821EF3">
        <w:rPr>
          <w:i/>
        </w:rPr>
        <w:t>Canadian Journal of Zoology</w:t>
      </w:r>
      <w:r w:rsidR="00821EF3">
        <w:t xml:space="preserve">, </w:t>
      </w:r>
      <w:r w:rsidR="00821EF3">
        <w:rPr>
          <w:i/>
        </w:rPr>
        <w:t>33</w:t>
      </w:r>
      <w:r w:rsidR="00821EF3">
        <w:t>(3), 325-347.</w:t>
      </w:r>
      <w:proofErr w:type="gramEnd"/>
    </w:p>
    <w:p w14:paraId="04FC68A3" w14:textId="4745819C" w:rsidR="00050D4D" w:rsidRPr="00821EF3" w:rsidRDefault="0081407C" w:rsidP="00821EF3">
      <w:pPr>
        <w:ind w:left="720" w:hanging="720"/>
      </w:pPr>
      <w:r>
        <w:t>Somero</w:t>
      </w:r>
      <w:r w:rsidR="00821EF3">
        <w:t>, G.N.</w:t>
      </w:r>
      <w:r>
        <w:t xml:space="preserve"> </w:t>
      </w:r>
      <w:r w:rsidR="00821EF3">
        <w:t>(</w:t>
      </w:r>
      <w:r>
        <w:t>2002</w:t>
      </w:r>
      <w:r w:rsidR="00821EF3">
        <w:t xml:space="preserve">) Thermal physiology and vertical zonation of intertidal animals: Optima, limits, and costs of living. </w:t>
      </w:r>
      <w:proofErr w:type="gramStart"/>
      <w:r w:rsidR="00821EF3">
        <w:rPr>
          <w:i/>
        </w:rPr>
        <w:t>Integrative and Comparative Biology</w:t>
      </w:r>
      <w:r w:rsidR="00821EF3">
        <w:t xml:space="preserve">, </w:t>
      </w:r>
      <w:r w:rsidR="00821EF3">
        <w:rPr>
          <w:i/>
        </w:rPr>
        <w:t>42</w:t>
      </w:r>
      <w:r w:rsidR="00821EF3">
        <w:t>, 780-789.</w:t>
      </w:r>
      <w:proofErr w:type="gramEnd"/>
    </w:p>
    <w:p w14:paraId="12C8AFE4" w14:textId="6964635F" w:rsidR="0081407C" w:rsidRPr="0081407C" w:rsidRDefault="0081407C" w:rsidP="00821EF3">
      <w:pPr>
        <w:ind w:left="720" w:hanging="720"/>
      </w:pPr>
      <w:r>
        <w:t>Weis, P., Weis, J.S., Couch, J., Daniels, C., and Chen, T. (1995) Pathological and genotoxicological observations in oysters (</w:t>
      </w:r>
      <w:r>
        <w:rPr>
          <w:i/>
        </w:rPr>
        <w:t>Crassostrea virginica</w:t>
      </w:r>
      <w:r>
        <w:t xml:space="preserve">) living on chromated copper arsenate (CCA)-treated wood. </w:t>
      </w:r>
      <w:proofErr w:type="gramStart"/>
      <w:r>
        <w:rPr>
          <w:i/>
        </w:rPr>
        <w:t>Marine Environmental Research</w:t>
      </w:r>
      <w:r>
        <w:t xml:space="preserve">, </w:t>
      </w:r>
      <w:r>
        <w:rPr>
          <w:i/>
        </w:rPr>
        <w:t>39</w:t>
      </w:r>
      <w:r>
        <w:t xml:space="preserve"> (1-4), 275-278.</w:t>
      </w:r>
      <w:proofErr w:type="gramEnd"/>
    </w:p>
    <w:p w14:paraId="5C63B680" w14:textId="6712036B" w:rsidR="0081407C" w:rsidRPr="00821EF3" w:rsidRDefault="0081407C" w:rsidP="00821EF3">
      <w:pPr>
        <w:ind w:left="720" w:hanging="720"/>
      </w:pPr>
      <w:r>
        <w:t>Winstead</w:t>
      </w:r>
      <w:r w:rsidR="00821EF3">
        <w:t>, J.T.</w:t>
      </w:r>
      <w:r>
        <w:t xml:space="preserve"> </w:t>
      </w:r>
      <w:r w:rsidR="00821EF3">
        <w:t>(</w:t>
      </w:r>
      <w:r>
        <w:t>1995</w:t>
      </w:r>
      <w:r w:rsidR="00821EF3">
        <w:t xml:space="preserve">) Digestive tubule </w:t>
      </w:r>
      <w:proofErr w:type="gramStart"/>
      <w:r w:rsidR="00821EF3">
        <w:t>atrophy</w:t>
      </w:r>
      <w:proofErr w:type="gramEnd"/>
      <w:r w:rsidR="00821EF3">
        <w:t xml:space="preserve"> in eastern oysters, </w:t>
      </w:r>
      <w:r w:rsidR="00821EF3">
        <w:rPr>
          <w:i/>
        </w:rPr>
        <w:t>Crassostrea virginica</w:t>
      </w:r>
      <w:r w:rsidR="00821EF3">
        <w:t xml:space="preserve"> (Gmelin, 1791), exposed to salinity and starvation stress. </w:t>
      </w:r>
      <w:proofErr w:type="gramStart"/>
      <w:r w:rsidR="00821EF3">
        <w:rPr>
          <w:i/>
        </w:rPr>
        <w:t>Journal of Shellfish Research</w:t>
      </w:r>
      <w:r w:rsidR="00821EF3">
        <w:t xml:space="preserve">, </w:t>
      </w:r>
      <w:r w:rsidR="00821EF3">
        <w:rPr>
          <w:i/>
        </w:rPr>
        <w:t>14</w:t>
      </w:r>
      <w:r w:rsidR="00821EF3">
        <w:t>(1), 105-111.</w:t>
      </w:r>
      <w:proofErr w:type="gramEnd"/>
    </w:p>
    <w:p w14:paraId="7C33A00F" w14:textId="77777777" w:rsidR="00050D4D" w:rsidRDefault="00050D4D" w:rsidP="00590C70">
      <w:pPr>
        <w:pStyle w:val="Heading1"/>
      </w:pPr>
    </w:p>
    <w:p w14:paraId="34FFF800" w14:textId="77777777" w:rsidR="00050D4D" w:rsidRDefault="00050D4D" w:rsidP="00050D4D"/>
    <w:p w14:paraId="5AD9DCC8" w14:textId="77777777" w:rsidR="00050D4D" w:rsidRDefault="00050D4D" w:rsidP="00050D4D"/>
    <w:p w14:paraId="72F7DB1D" w14:textId="77777777" w:rsidR="00050D4D" w:rsidRDefault="00050D4D" w:rsidP="00050D4D"/>
    <w:p w14:paraId="299DEE68" w14:textId="77777777" w:rsidR="00050D4D" w:rsidRDefault="00050D4D" w:rsidP="00050D4D"/>
    <w:p w14:paraId="2ACFE3D3" w14:textId="77777777" w:rsidR="00050D4D" w:rsidRDefault="00050D4D" w:rsidP="00050D4D"/>
    <w:p w14:paraId="0463D98B" w14:textId="77777777" w:rsidR="00050D4D" w:rsidRDefault="00050D4D" w:rsidP="00050D4D"/>
    <w:p w14:paraId="059D4C57" w14:textId="77777777" w:rsidR="00050D4D" w:rsidRDefault="00050D4D" w:rsidP="00050D4D"/>
    <w:p w14:paraId="391A1D87" w14:textId="77777777" w:rsidR="00821EF3" w:rsidRDefault="00821EF3" w:rsidP="00050D4D">
      <w:pPr>
        <w:pStyle w:val="Heading1"/>
      </w:pPr>
    </w:p>
    <w:p w14:paraId="39EB8EF9" w14:textId="77777777" w:rsidR="00821EF3" w:rsidRDefault="00821EF3" w:rsidP="00050D4D">
      <w:pPr>
        <w:pStyle w:val="Heading1"/>
      </w:pPr>
    </w:p>
    <w:p w14:paraId="1CD8B283" w14:textId="77777777" w:rsidR="00821EF3" w:rsidRDefault="00821EF3" w:rsidP="00050D4D">
      <w:pPr>
        <w:pStyle w:val="Heading1"/>
      </w:pPr>
    </w:p>
    <w:p w14:paraId="40450D14" w14:textId="77777777" w:rsidR="00821EF3" w:rsidRDefault="00821EF3" w:rsidP="00050D4D">
      <w:pPr>
        <w:pStyle w:val="Heading1"/>
      </w:pPr>
    </w:p>
    <w:p w14:paraId="6C6EB7C6" w14:textId="77777777" w:rsidR="00821EF3" w:rsidRDefault="00821EF3" w:rsidP="00821EF3"/>
    <w:p w14:paraId="6E8D14D9" w14:textId="77777777" w:rsidR="00821EF3" w:rsidRDefault="00821EF3" w:rsidP="00821EF3"/>
    <w:p w14:paraId="3565B4A8" w14:textId="77777777" w:rsidR="00821EF3" w:rsidRDefault="00821EF3" w:rsidP="00821EF3"/>
    <w:p w14:paraId="19D05332" w14:textId="77777777" w:rsidR="00821EF3" w:rsidRDefault="00821EF3" w:rsidP="00821EF3"/>
    <w:p w14:paraId="6814678C" w14:textId="77777777" w:rsidR="00821EF3" w:rsidRDefault="00821EF3" w:rsidP="00821EF3"/>
    <w:p w14:paraId="36A2272E" w14:textId="77777777" w:rsidR="00E16191" w:rsidRDefault="00590C70" w:rsidP="00821EF3">
      <w:pPr>
        <w:pStyle w:val="Heading1"/>
      </w:pPr>
      <w:r w:rsidRPr="00564CD4">
        <w:t xml:space="preserve"> </w:t>
      </w:r>
    </w:p>
    <w:p w14:paraId="11C6589E" w14:textId="77777777" w:rsidR="00E16191" w:rsidRDefault="00E16191" w:rsidP="00E16191"/>
    <w:p w14:paraId="01425F3F" w14:textId="77777777" w:rsidR="00E16191" w:rsidRDefault="00E16191" w:rsidP="00E16191"/>
    <w:p w14:paraId="6B4BD21B" w14:textId="05C5D699" w:rsidR="00590C70" w:rsidRPr="00564CD4" w:rsidRDefault="00590C70" w:rsidP="00E16191">
      <w:pPr>
        <w:pStyle w:val="Heading1"/>
      </w:pPr>
      <w:bookmarkStart w:id="103" w:name="_Toc252110055"/>
      <w:r>
        <w:t xml:space="preserve">Appendix C: List of Samples from 1 Week and 1 Month Elevated </w:t>
      </w:r>
      <w:r w:rsidRPr="00590C70">
        <w:rPr>
          <w:i/>
        </w:rPr>
        <w:t>p</w:t>
      </w:r>
      <w:r>
        <w:t>CO</w:t>
      </w:r>
      <w:r w:rsidRPr="00590C70">
        <w:rPr>
          <w:vertAlign w:val="subscript"/>
        </w:rPr>
        <w:t>2</w:t>
      </w:r>
      <w:r>
        <w:t xml:space="preserve"> Exposures</w:t>
      </w:r>
      <w:bookmarkEnd w:id="103"/>
    </w:p>
    <w:p w14:paraId="0970B171" w14:textId="60BF3775" w:rsidR="00564CD4" w:rsidRDefault="00564CD4" w:rsidP="00564CD4"/>
    <w:p w14:paraId="706EE2F3" w14:textId="77777777" w:rsidR="00920663" w:rsidRDefault="00590C70" w:rsidP="00050D4D">
      <w:pPr>
        <w:spacing w:line="360" w:lineRule="auto"/>
      </w:pPr>
      <w:r w:rsidRPr="00920663">
        <w:rPr>
          <w:rStyle w:val="Heading2Char"/>
        </w:rPr>
        <w:t>Explanation</w:t>
      </w:r>
      <w:r>
        <w:t xml:space="preserve">:  </w:t>
      </w:r>
    </w:p>
    <w:p w14:paraId="6D87553A" w14:textId="6F90DFFB" w:rsidR="00590C70" w:rsidRDefault="00920663" w:rsidP="00050D4D">
      <w:pPr>
        <w:spacing w:line="360" w:lineRule="auto"/>
      </w:pPr>
      <w:r>
        <w:t>Appendix C is a table of oyster tissues taken from an ocean acidification experiment done in January-February, 2012</w:t>
      </w:r>
      <w:r w:rsidR="00590C70">
        <w:t>.</w:t>
      </w:r>
      <w:r>
        <w:t xml:space="preserve">  Some of these samples were analyzed and res</w:t>
      </w:r>
      <w:r w:rsidR="00E16191">
        <w:t>ults are presented in Chapters II and II</w:t>
      </w:r>
      <w:r>
        <w:t xml:space="preserve"> and Appendices A and B.</w:t>
      </w:r>
      <w:r w:rsidR="00590C70">
        <w:t xml:space="preserve">  Samples with the prefix “Exp1” are from oysters that were exposed to elevated </w:t>
      </w:r>
      <w:r w:rsidR="00590C70" w:rsidRPr="00920663">
        <w:rPr>
          <w:i/>
        </w:rPr>
        <w:t>p</w:t>
      </w:r>
      <w:r w:rsidR="00590C70">
        <w:t>CO</w:t>
      </w:r>
      <w:r w:rsidR="00590C70" w:rsidRPr="00920663">
        <w:rPr>
          <w:vertAlign w:val="subscript"/>
        </w:rPr>
        <w:t>2</w:t>
      </w:r>
      <w:r w:rsidR="00590C70">
        <w:t xml:space="preserve"> for 1 week (these results are not presented in this dissertation).</w:t>
      </w:r>
      <w:r>
        <w:t xml:space="preserve">  A subset of oysters from each </w:t>
      </w:r>
      <w:r w:rsidRPr="00920663">
        <w:rPr>
          <w:i/>
        </w:rPr>
        <w:t>p</w:t>
      </w:r>
      <w:r>
        <w:t>CO</w:t>
      </w:r>
      <w:r w:rsidRPr="00920663">
        <w:rPr>
          <w:vertAlign w:val="subscript"/>
        </w:rPr>
        <w:t>2</w:t>
      </w:r>
      <w:r>
        <w:t xml:space="preserve"> treatment were heat shocked at 38°C for 1 hour before sampling.</w:t>
      </w:r>
      <w:r w:rsidR="00590C70">
        <w:t xml:space="preserve">  There was a hiccup i</w:t>
      </w:r>
      <w:r w:rsidR="00553663">
        <w:t>n the water chemistry for the 1-</w:t>
      </w:r>
      <w:r w:rsidR="00590C70">
        <w:t xml:space="preserve">week experiment: for the 400 </w:t>
      </w:r>
      <w:r w:rsidR="00716F99">
        <w:rPr>
          <w:rFonts w:ascii="Cambria" w:hAnsi="Cambria"/>
        </w:rPr>
        <w:t>μ</w:t>
      </w:r>
      <w:r w:rsidR="00590C70">
        <w:t>atm treatment (the control) the DuraFET probe was not accurately calibrated and for the first 36 hours of the experiment the pH of this treatment was around 7</w:t>
      </w:r>
      <w:r>
        <w:t xml:space="preserve"> but was then switched to pH 8 for the remainder of the exposure</w:t>
      </w:r>
      <w:r w:rsidR="00590C70">
        <w:t xml:space="preserve"> (for details see my lab notebook for January 7, 2012).</w:t>
      </w:r>
      <w:r w:rsidR="00716F99">
        <w:t xml:space="preserve">  Samples with the prefix “Exp2” are from the month-long experiment, the results of which are presented above.</w:t>
      </w:r>
    </w:p>
    <w:p w14:paraId="5E12A72E" w14:textId="77777777" w:rsidR="00716F99" w:rsidRDefault="00716F99" w:rsidP="00050D4D">
      <w:pPr>
        <w:spacing w:line="360" w:lineRule="auto"/>
      </w:pPr>
    </w:p>
    <w:p w14:paraId="0CA46AC1" w14:textId="6C93BA21" w:rsidR="00716F99" w:rsidRPr="00564CD4" w:rsidRDefault="00716F99" w:rsidP="00050D4D">
      <w:pPr>
        <w:spacing w:line="360" w:lineRule="auto"/>
      </w:pPr>
      <w:r>
        <w:t xml:space="preserve">Each row in the spreadsheet represents one oyster.  For most oysters, two separate gill samples were taken and for Exp2 oysters the remaining body tissues (“whole body”) were also preserved.  Histology sections were taken for every oyster.  Treatment indicates which </w:t>
      </w:r>
      <w:r w:rsidRPr="00920663">
        <w:rPr>
          <w:i/>
        </w:rPr>
        <w:t>p</w:t>
      </w:r>
      <w:r>
        <w:t>CO</w:t>
      </w:r>
      <w:r w:rsidRPr="00920663">
        <w:rPr>
          <w:vertAlign w:val="subscript"/>
        </w:rPr>
        <w:t>2</w:t>
      </w:r>
      <w:r>
        <w:t xml:space="preserve"> the oyster was exposed to (400-2800 </w:t>
      </w:r>
      <w:r>
        <w:rPr>
          <w:rFonts w:ascii="Cambria" w:hAnsi="Cambria"/>
        </w:rPr>
        <w:t>μ</w:t>
      </w:r>
      <w:r>
        <w:t>atm) and which additional stress, if any (HS = heat shock, MS = mechanical stress).  Cells highlighted in yellow indicate that a tissue sample was already used for an experiment.</w:t>
      </w:r>
      <w:r w:rsidR="00553663">
        <w:t xml:space="preserve">  For many of these, there is still biological material available for further analysis (RNA, protein, glycogen, fatty acid, ground tissue).</w:t>
      </w:r>
      <w:r>
        <w:t xml:space="preserve">  In the “Notes” column, the types of analyses done on each oyster are listed.</w:t>
      </w:r>
    </w:p>
    <w:sectPr w:rsidR="00716F99" w:rsidRPr="00564CD4" w:rsidSect="007570D3">
      <w:footerReference w:type="even" r:id="rId40"/>
      <w:footerReference w:type="default" r:id="rId4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319AF" w14:textId="77777777" w:rsidR="00AC2902" w:rsidRDefault="00AC2902" w:rsidP="009454B5">
      <w:r>
        <w:separator/>
      </w:r>
    </w:p>
  </w:endnote>
  <w:endnote w:type="continuationSeparator" w:id="0">
    <w:p w14:paraId="155D416A" w14:textId="77777777" w:rsidR="00AC2902" w:rsidRDefault="00AC2902" w:rsidP="0094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yriad Pro Light">
    <w:altName w:val="Cambria"/>
    <w:panose1 w:val="00000000000000000000"/>
    <w:charset w:val="4D"/>
    <w:family w:val="swiss"/>
    <w:notTrueType/>
    <w:pitch w:val="default"/>
    <w:sig w:usb0="00000003" w:usb1="00000000" w:usb2="00000000" w:usb3="00000000" w:csb0="00000001" w:csb1="00000000"/>
  </w:font>
  <w:font w:name="Sabon">
    <w:altName w:val="Sabo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Times">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404B7" w14:textId="77777777" w:rsidR="00AC2902" w:rsidRDefault="00AC2902"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90575B" w14:textId="77777777" w:rsidR="00AC2902" w:rsidRDefault="00AC290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F2F42" w14:textId="77777777" w:rsidR="00AC2902" w:rsidRDefault="00AC2902"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0D10">
      <w:rPr>
        <w:rStyle w:val="PageNumber"/>
        <w:noProof/>
      </w:rPr>
      <w:t>39</w:t>
    </w:r>
    <w:r>
      <w:rPr>
        <w:rStyle w:val="PageNumber"/>
      </w:rPr>
      <w:fldChar w:fldCharType="end"/>
    </w:r>
  </w:p>
  <w:p w14:paraId="2CD03A74" w14:textId="77777777" w:rsidR="00AC2902" w:rsidRDefault="00AC290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0F627" w14:textId="77777777" w:rsidR="00AC2902" w:rsidRDefault="00AC2902" w:rsidP="009454B5">
      <w:r>
        <w:separator/>
      </w:r>
    </w:p>
  </w:footnote>
  <w:footnote w:type="continuationSeparator" w:id="0">
    <w:p w14:paraId="1F85A63E" w14:textId="77777777" w:rsidR="00AC2902" w:rsidRDefault="00AC2902" w:rsidP="009454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0F0"/>
    <w:rsid w:val="00040FE7"/>
    <w:rsid w:val="00050D4D"/>
    <w:rsid w:val="00071B1D"/>
    <w:rsid w:val="0008341D"/>
    <w:rsid w:val="00086257"/>
    <w:rsid w:val="000D35D8"/>
    <w:rsid w:val="000F46A0"/>
    <w:rsid w:val="001010D9"/>
    <w:rsid w:val="001174D0"/>
    <w:rsid w:val="0013210F"/>
    <w:rsid w:val="00173404"/>
    <w:rsid w:val="00176EF1"/>
    <w:rsid w:val="001C03BF"/>
    <w:rsid w:val="001C08F9"/>
    <w:rsid w:val="001D4FF0"/>
    <w:rsid w:val="002053D6"/>
    <w:rsid w:val="00210D10"/>
    <w:rsid w:val="00216B3B"/>
    <w:rsid w:val="002214CA"/>
    <w:rsid w:val="0024555E"/>
    <w:rsid w:val="00260602"/>
    <w:rsid w:val="00264A18"/>
    <w:rsid w:val="00295E93"/>
    <w:rsid w:val="002A3DE3"/>
    <w:rsid w:val="002C7B21"/>
    <w:rsid w:val="002D577E"/>
    <w:rsid w:val="002F09AA"/>
    <w:rsid w:val="002F5FFC"/>
    <w:rsid w:val="0030116B"/>
    <w:rsid w:val="00305757"/>
    <w:rsid w:val="00326AC2"/>
    <w:rsid w:val="00353A53"/>
    <w:rsid w:val="0035708D"/>
    <w:rsid w:val="00357B4F"/>
    <w:rsid w:val="0036143A"/>
    <w:rsid w:val="00363A7C"/>
    <w:rsid w:val="00367483"/>
    <w:rsid w:val="0039086A"/>
    <w:rsid w:val="003C02A3"/>
    <w:rsid w:val="003C61BD"/>
    <w:rsid w:val="003E5089"/>
    <w:rsid w:val="004238B2"/>
    <w:rsid w:val="00426D9F"/>
    <w:rsid w:val="00433E37"/>
    <w:rsid w:val="0045586B"/>
    <w:rsid w:val="00463F94"/>
    <w:rsid w:val="00534DA8"/>
    <w:rsid w:val="00553663"/>
    <w:rsid w:val="005643FD"/>
    <w:rsid w:val="00564CD4"/>
    <w:rsid w:val="00581C49"/>
    <w:rsid w:val="0059047D"/>
    <w:rsid w:val="00590C70"/>
    <w:rsid w:val="005B03F6"/>
    <w:rsid w:val="005C1814"/>
    <w:rsid w:val="005E6037"/>
    <w:rsid w:val="006121D9"/>
    <w:rsid w:val="00624850"/>
    <w:rsid w:val="006315D6"/>
    <w:rsid w:val="00642A5C"/>
    <w:rsid w:val="00650BE8"/>
    <w:rsid w:val="006F283A"/>
    <w:rsid w:val="0070002F"/>
    <w:rsid w:val="00716F99"/>
    <w:rsid w:val="00722A74"/>
    <w:rsid w:val="00732DA8"/>
    <w:rsid w:val="007570D3"/>
    <w:rsid w:val="00785BFB"/>
    <w:rsid w:val="007903B1"/>
    <w:rsid w:val="0079169C"/>
    <w:rsid w:val="007C548F"/>
    <w:rsid w:val="007E4E65"/>
    <w:rsid w:val="0081407C"/>
    <w:rsid w:val="00821EF3"/>
    <w:rsid w:val="00860E0A"/>
    <w:rsid w:val="008677CA"/>
    <w:rsid w:val="00872E37"/>
    <w:rsid w:val="00877472"/>
    <w:rsid w:val="008960B9"/>
    <w:rsid w:val="008B06D8"/>
    <w:rsid w:val="008C2481"/>
    <w:rsid w:val="008D6E3F"/>
    <w:rsid w:val="008E51E2"/>
    <w:rsid w:val="009079FD"/>
    <w:rsid w:val="00914D90"/>
    <w:rsid w:val="00920663"/>
    <w:rsid w:val="00934525"/>
    <w:rsid w:val="00941786"/>
    <w:rsid w:val="009454B5"/>
    <w:rsid w:val="009B254F"/>
    <w:rsid w:val="009D7556"/>
    <w:rsid w:val="00A076C9"/>
    <w:rsid w:val="00A14DF5"/>
    <w:rsid w:val="00A15736"/>
    <w:rsid w:val="00A16689"/>
    <w:rsid w:val="00A42AD1"/>
    <w:rsid w:val="00A61FA8"/>
    <w:rsid w:val="00AB0DC5"/>
    <w:rsid w:val="00AC2902"/>
    <w:rsid w:val="00AC2BC9"/>
    <w:rsid w:val="00AC2C9D"/>
    <w:rsid w:val="00AE4FCF"/>
    <w:rsid w:val="00B02295"/>
    <w:rsid w:val="00B12147"/>
    <w:rsid w:val="00B25B7F"/>
    <w:rsid w:val="00B2686F"/>
    <w:rsid w:val="00B42A60"/>
    <w:rsid w:val="00B51F71"/>
    <w:rsid w:val="00BB2FCF"/>
    <w:rsid w:val="00BB44A9"/>
    <w:rsid w:val="00BB47F6"/>
    <w:rsid w:val="00BC5F99"/>
    <w:rsid w:val="00BE45C8"/>
    <w:rsid w:val="00C02D9B"/>
    <w:rsid w:val="00C15026"/>
    <w:rsid w:val="00C44DB0"/>
    <w:rsid w:val="00C661F6"/>
    <w:rsid w:val="00C85C10"/>
    <w:rsid w:val="00CA19DA"/>
    <w:rsid w:val="00CB5AAE"/>
    <w:rsid w:val="00CC339E"/>
    <w:rsid w:val="00CD79A7"/>
    <w:rsid w:val="00D03E5E"/>
    <w:rsid w:val="00D37AAA"/>
    <w:rsid w:val="00D62029"/>
    <w:rsid w:val="00D638F2"/>
    <w:rsid w:val="00D826A9"/>
    <w:rsid w:val="00D92FB6"/>
    <w:rsid w:val="00DB3ADB"/>
    <w:rsid w:val="00DF70F0"/>
    <w:rsid w:val="00E01B09"/>
    <w:rsid w:val="00E16191"/>
    <w:rsid w:val="00E31863"/>
    <w:rsid w:val="00E57114"/>
    <w:rsid w:val="00E833DC"/>
    <w:rsid w:val="00E90BBA"/>
    <w:rsid w:val="00EA3E29"/>
    <w:rsid w:val="00EB59F7"/>
    <w:rsid w:val="00EC2EC9"/>
    <w:rsid w:val="00ED7FBC"/>
    <w:rsid w:val="00EE4D1C"/>
    <w:rsid w:val="00EF2726"/>
    <w:rsid w:val="00EF7B60"/>
    <w:rsid w:val="00F061DB"/>
    <w:rsid w:val="00F11BEB"/>
    <w:rsid w:val="00F451C2"/>
    <w:rsid w:val="00F56FA1"/>
    <w:rsid w:val="00F6256A"/>
    <w:rsid w:val="00F66D5B"/>
    <w:rsid w:val="00F814BA"/>
    <w:rsid w:val="00FA07E7"/>
    <w:rsid w:val="00FC15CF"/>
    <w:rsid w:val="00FD2D9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B00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F66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F66D5B"/>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unhideWhenUsed/>
    <w:rsid w:val="00EB59F7"/>
    <w:rPr>
      <w:color w:val="0000FF" w:themeColor="hyperlink"/>
      <w:u w:val="single"/>
    </w:rPr>
  </w:style>
  <w:style w:type="paragraph" w:styleId="CommentText">
    <w:name w:val="annotation text"/>
    <w:basedOn w:val="Normal"/>
    <w:link w:val="CommentTextChar"/>
    <w:uiPriority w:val="99"/>
    <w:semiHidden/>
    <w:unhideWhenUsed/>
    <w:rsid w:val="00264A18"/>
  </w:style>
  <w:style w:type="character" w:customStyle="1" w:styleId="CommentTextChar">
    <w:name w:val="Comment Text Char"/>
    <w:basedOn w:val="DefaultParagraphFont"/>
    <w:link w:val="CommentText"/>
    <w:uiPriority w:val="99"/>
    <w:semiHidden/>
    <w:rsid w:val="00264A18"/>
    <w:rPr>
      <w:sz w:val="24"/>
      <w:szCs w:val="24"/>
    </w:rPr>
  </w:style>
  <w:style w:type="character" w:styleId="CommentReference">
    <w:name w:val="annotation reference"/>
    <w:basedOn w:val="DefaultParagraphFont"/>
    <w:uiPriority w:val="99"/>
    <w:semiHidden/>
    <w:unhideWhenUsed/>
    <w:rsid w:val="00264A18"/>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F66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F66D5B"/>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unhideWhenUsed/>
    <w:rsid w:val="00EB59F7"/>
    <w:rPr>
      <w:color w:val="0000FF" w:themeColor="hyperlink"/>
      <w:u w:val="single"/>
    </w:rPr>
  </w:style>
  <w:style w:type="paragraph" w:styleId="CommentText">
    <w:name w:val="annotation text"/>
    <w:basedOn w:val="Normal"/>
    <w:link w:val="CommentTextChar"/>
    <w:uiPriority w:val="99"/>
    <w:semiHidden/>
    <w:unhideWhenUsed/>
    <w:rsid w:val="00264A18"/>
  </w:style>
  <w:style w:type="character" w:customStyle="1" w:styleId="CommentTextChar">
    <w:name w:val="Comment Text Char"/>
    <w:basedOn w:val="DefaultParagraphFont"/>
    <w:link w:val="CommentText"/>
    <w:uiPriority w:val="99"/>
    <w:semiHidden/>
    <w:rsid w:val="00264A18"/>
    <w:rPr>
      <w:sz w:val="24"/>
      <w:szCs w:val="24"/>
    </w:rPr>
  </w:style>
  <w:style w:type="character" w:styleId="CommentReference">
    <w:name w:val="annotation reference"/>
    <w:basedOn w:val="DefaultParagraphFont"/>
    <w:uiPriority w:val="99"/>
    <w:semiHidden/>
    <w:unhideWhenUsed/>
    <w:rsid w:val="00264A1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5322">
      <w:bodyDiv w:val="1"/>
      <w:marLeft w:val="0"/>
      <w:marRight w:val="0"/>
      <w:marTop w:val="0"/>
      <w:marBottom w:val="0"/>
      <w:divBdr>
        <w:top w:val="none" w:sz="0" w:space="0" w:color="auto"/>
        <w:left w:val="none" w:sz="0" w:space="0" w:color="auto"/>
        <w:bottom w:val="none" w:sz="0" w:space="0" w:color="auto"/>
        <w:right w:val="none" w:sz="0" w:space="0" w:color="auto"/>
      </w:divBdr>
    </w:div>
    <w:div w:id="159471683">
      <w:bodyDiv w:val="1"/>
      <w:marLeft w:val="0"/>
      <w:marRight w:val="0"/>
      <w:marTop w:val="0"/>
      <w:marBottom w:val="0"/>
      <w:divBdr>
        <w:top w:val="none" w:sz="0" w:space="0" w:color="auto"/>
        <w:left w:val="none" w:sz="0" w:space="0" w:color="auto"/>
        <w:bottom w:val="none" w:sz="0" w:space="0" w:color="auto"/>
        <w:right w:val="none" w:sz="0" w:space="0" w:color="auto"/>
      </w:divBdr>
    </w:div>
    <w:div w:id="270555322">
      <w:bodyDiv w:val="1"/>
      <w:marLeft w:val="0"/>
      <w:marRight w:val="0"/>
      <w:marTop w:val="0"/>
      <w:marBottom w:val="0"/>
      <w:divBdr>
        <w:top w:val="none" w:sz="0" w:space="0" w:color="auto"/>
        <w:left w:val="none" w:sz="0" w:space="0" w:color="auto"/>
        <w:bottom w:val="none" w:sz="0" w:space="0" w:color="auto"/>
        <w:right w:val="none" w:sz="0" w:space="0" w:color="auto"/>
      </w:divBdr>
    </w:div>
    <w:div w:id="412312347">
      <w:bodyDiv w:val="1"/>
      <w:marLeft w:val="0"/>
      <w:marRight w:val="0"/>
      <w:marTop w:val="0"/>
      <w:marBottom w:val="0"/>
      <w:divBdr>
        <w:top w:val="none" w:sz="0" w:space="0" w:color="auto"/>
        <w:left w:val="none" w:sz="0" w:space="0" w:color="auto"/>
        <w:bottom w:val="none" w:sz="0" w:space="0" w:color="auto"/>
        <w:right w:val="none" w:sz="0" w:space="0" w:color="auto"/>
      </w:divBdr>
    </w:div>
    <w:div w:id="766584031">
      <w:bodyDiv w:val="1"/>
      <w:marLeft w:val="0"/>
      <w:marRight w:val="0"/>
      <w:marTop w:val="0"/>
      <w:marBottom w:val="0"/>
      <w:divBdr>
        <w:top w:val="none" w:sz="0" w:space="0" w:color="auto"/>
        <w:left w:val="none" w:sz="0" w:space="0" w:color="auto"/>
        <w:bottom w:val="none" w:sz="0" w:space="0" w:color="auto"/>
        <w:right w:val="none" w:sz="0" w:space="0" w:color="auto"/>
      </w:divBdr>
    </w:div>
    <w:div w:id="1651253436">
      <w:bodyDiv w:val="1"/>
      <w:marLeft w:val="0"/>
      <w:marRight w:val="0"/>
      <w:marTop w:val="0"/>
      <w:marBottom w:val="0"/>
      <w:divBdr>
        <w:top w:val="none" w:sz="0" w:space="0" w:color="auto"/>
        <w:left w:val="none" w:sz="0" w:space="0" w:color="auto"/>
        <w:bottom w:val="none" w:sz="0" w:space="0" w:color="auto"/>
        <w:right w:val="none" w:sz="0" w:space="0" w:color="auto"/>
      </w:divBdr>
    </w:div>
    <w:div w:id="1755979149">
      <w:bodyDiv w:val="1"/>
      <w:marLeft w:val="0"/>
      <w:marRight w:val="0"/>
      <w:marTop w:val="0"/>
      <w:marBottom w:val="0"/>
      <w:divBdr>
        <w:top w:val="none" w:sz="0" w:space="0" w:color="auto"/>
        <w:left w:val="none" w:sz="0" w:space="0" w:color="auto"/>
        <w:bottom w:val="none" w:sz="0" w:space="0" w:color="auto"/>
        <w:right w:val="none" w:sz="0" w:space="0" w:color="auto"/>
      </w:divBdr>
    </w:div>
    <w:div w:id="1995405669">
      <w:bodyDiv w:val="1"/>
      <w:marLeft w:val="0"/>
      <w:marRight w:val="0"/>
      <w:marTop w:val="0"/>
      <w:marBottom w:val="0"/>
      <w:divBdr>
        <w:top w:val="none" w:sz="0" w:space="0" w:color="auto"/>
        <w:left w:val="none" w:sz="0" w:space="0" w:color="auto"/>
        <w:bottom w:val="none" w:sz="0" w:space="0" w:color="auto"/>
        <w:right w:val="none" w:sz="0" w:space="0" w:color="auto"/>
      </w:divBdr>
    </w:div>
    <w:div w:id="2095740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1" Type="http://schemas.openxmlformats.org/officeDocument/2006/relationships/hyperlink" Target="http://conphys.oxfordjournals.org/content/1/1/cot009/suppl/DC1" TargetMode="External"/><Relationship Id="rId22" Type="http://schemas.openxmlformats.org/officeDocument/2006/relationships/hyperlink" Target="http://bioinfogp.cnb.csic.es/tools/venny/index.html" TargetMode="External"/><Relationship Id="rId23" Type="http://schemas.openxmlformats.org/officeDocument/2006/relationships/hyperlink" Target="http://bioinfogp.cnb.csic.es/tools/venny/index.html" TargetMode="External"/><Relationship Id="rId24" Type="http://schemas.openxmlformats.org/officeDocument/2006/relationships/hyperlink" Target="http://www.r-project.org" TargetMode="External"/><Relationship Id="rId25" Type="http://schemas.openxmlformats.org/officeDocument/2006/relationships/hyperlink" Target="http://www.r-project.org" TargetMode="External"/><Relationship Id="rId26" Type="http://schemas.openxmlformats.org/officeDocument/2006/relationships/hyperlink" Target="http://uniprot.org" TargetMode="External"/><Relationship Id="rId27" Type="http://schemas.openxmlformats.org/officeDocument/2006/relationships/hyperlink" Target="http://david.abcc.ncifcrf.gov/" TargetMode="External"/><Relationship Id="rId28" Type="http://schemas.openxmlformats.org/officeDocument/2006/relationships/image" Target="media/image15.jpg"/><Relationship Id="rId29" Type="http://schemas.openxmlformats.org/officeDocument/2006/relationships/image" Target="media/image16.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image" Target="media/image19.jpg"/><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33" Type="http://schemas.openxmlformats.org/officeDocument/2006/relationships/image" Target="media/image20.jpg"/><Relationship Id="rId34" Type="http://schemas.openxmlformats.org/officeDocument/2006/relationships/image" Target="media/image21.jpg"/><Relationship Id="rId35" Type="http://schemas.openxmlformats.org/officeDocument/2006/relationships/image" Target="media/image22.jpg"/><Relationship Id="rId36" Type="http://schemas.openxmlformats.org/officeDocument/2006/relationships/image" Target="media/image23.jpg"/><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png"/><Relationship Id="rId18" Type="http://schemas.openxmlformats.org/officeDocument/2006/relationships/image" Target="media/image12.jpg"/><Relationship Id="rId19" Type="http://schemas.openxmlformats.org/officeDocument/2006/relationships/image" Target="media/image13.jpg"/><Relationship Id="rId37" Type="http://schemas.openxmlformats.org/officeDocument/2006/relationships/image" Target="media/image24.jpg"/><Relationship Id="rId38" Type="http://schemas.openxmlformats.org/officeDocument/2006/relationships/image" Target="media/image25.jpg"/><Relationship Id="rId39" Type="http://schemas.openxmlformats.org/officeDocument/2006/relationships/image" Target="media/image26.emf"/><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124</Pages>
  <Words>103120</Words>
  <Characters>587790</Characters>
  <Application>Microsoft Macintosh Word</Application>
  <DocSecurity>0</DocSecurity>
  <Lines>4898</Lines>
  <Paragraphs>1379</Paragraphs>
  <ScaleCrop>false</ScaleCrop>
  <Company>University of Washington</Company>
  <LinksUpToDate>false</LinksUpToDate>
  <CharactersWithSpaces>689531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7</cp:revision>
  <dcterms:created xsi:type="dcterms:W3CDTF">2014-01-23T21:52:00Z</dcterms:created>
  <dcterms:modified xsi:type="dcterms:W3CDTF">2014-02-04T22:39:00Z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emsie25@gmail.com@www.mendeley.com</vt:lpwstr>
  </property>
</Properties>
</file>